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附件1</w:t>
      </w:r>
    </w:p>
    <w:tbl>
      <w:tblPr>
        <w:tblStyle w:val="2"/>
        <w:tblW w:w="10031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338"/>
        <w:gridCol w:w="1599"/>
        <w:gridCol w:w="663"/>
        <w:gridCol w:w="1328"/>
        <w:gridCol w:w="663"/>
        <w:gridCol w:w="796"/>
        <w:gridCol w:w="20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3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576" w:lineRule="exact"/>
              <w:ind w:firstLine="7800" w:firstLineChars="3250"/>
              <w:textAlignment w:val="center"/>
              <w:rPr>
                <w:rFonts w:ascii="仿宋_GB2312" w:hAnsi="华文中宋" w:eastAsia="仿宋_GB2312" w:cs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备案编号：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03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华文中宋" w:eastAsia="方正小标宋简体" w:cs="方正小标宋_GBK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华文中宋" w:eastAsia="方正小标宋简体"/>
                <w:color w:val="000000"/>
                <w:sz w:val="36"/>
                <w:szCs w:val="36"/>
              </w:rPr>
              <w:t>青海省跨省异地就医登记备案表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险  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1.职工医保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2.城乡居民医保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人员类别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1.异地安置退休人员 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2.异地长期居住人员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3.常驻异地工作人员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4.异地转诊人员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其他跨省临时外出就医人员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登记类别</w:t>
            </w:r>
          </w:p>
        </w:tc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right="-413" w:rightChars="-129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1.新增</w:t>
            </w:r>
          </w:p>
          <w:p>
            <w:pPr>
              <w:widowControl/>
              <w:spacing w:line="240" w:lineRule="exact"/>
              <w:ind w:right="-413" w:rightChars="-129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2.变更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社会保障号码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社会保障卡卡号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（可选）</w:t>
            </w:r>
          </w:p>
        </w:tc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参保地       家庭住址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异地联系地址</w:t>
            </w:r>
          </w:p>
        </w:tc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联系电话1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联系电话2</w:t>
            </w:r>
          </w:p>
        </w:tc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转往省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（市、区）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转往地区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（市、州）</w:t>
            </w:r>
          </w:p>
        </w:tc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</w:trPr>
        <w:tc>
          <w:tcPr>
            <w:tcW w:w="100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温馨提示</w:t>
            </w:r>
          </w:p>
          <w:p>
            <w:pPr>
              <w:spacing w:line="360" w:lineRule="exact"/>
              <w:ind w:firstLine="330" w:firstLineChars="15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跨省异地就医直接结算执行就医地规定的支付范围、参保地规定的基本医疗保险基金起付标准、支付比例、最高支付限额、门诊慢特病病种范围等有关政策。</w:t>
            </w:r>
          </w:p>
          <w:p>
            <w:pPr>
              <w:spacing w:line="360" w:lineRule="exact"/>
              <w:ind w:firstLine="330" w:firstLineChars="15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办理备案时直接备案到就医地市或直辖市，到海南、西藏等省级统筹的省份和新疆生产建设兵团就医的，可备案到就医省份和新疆生产建设兵团。</w:t>
            </w:r>
          </w:p>
          <w:p>
            <w:pPr>
              <w:spacing w:line="360" w:lineRule="exact"/>
              <w:ind w:firstLine="330" w:firstLineChars="15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参保人员根据病情、居住地、交通等情况，参保人员办理跨省异地就医备案后，可直接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在备案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就医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已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开通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跨省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异地就医联网结算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服务的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定点医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药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机构享受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住院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、普通门诊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（含门诊慢特病）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就医及药店购药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费用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直接结算。</w:t>
            </w:r>
          </w:p>
          <w:p>
            <w:pPr>
              <w:spacing w:line="360" w:lineRule="exact"/>
              <w:ind w:firstLine="330" w:firstLineChars="15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4.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异地急诊抢救人员视同已备案。</w:t>
            </w:r>
          </w:p>
          <w:p>
            <w:pPr>
              <w:spacing w:line="360" w:lineRule="exact"/>
              <w:ind w:firstLine="330" w:firstLineChars="15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未按规定申请办理登记备案手续，或在就医地非跨省定点医疗机构发生的医疗费用，按参保地规定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的支付范围及医保待遇支付政策手工报销。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（被委托人）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签名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填表日期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031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360" w:firstLineChars="15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经办机构：             联系电话：             经办人：          经办日期：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2CD69"/>
    <w:multiLevelType w:val="singleLevel"/>
    <w:tmpl w:val="62A2CD69"/>
    <w:lvl w:ilvl="0" w:tentative="0">
      <w:start w:val="5"/>
      <w:numFmt w:val="decimal"/>
      <w:suff w:val="nothing"/>
      <w:lvlText w:val="%1."/>
      <w:lvlJc w:val="left"/>
      <w:rPr>
        <w:rFonts w:hint="eastAsia" w:ascii="仿宋_GB2312" w:eastAsia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708FD"/>
    <w:rsid w:val="01B7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2023-01-10T03:09:00Z</dcterms:created>
  <dc:creator>Administrator</dc:creator>
  <cp:lastModifiedBy>Administrator</cp:lastModifiedBy>
  <dcterms:modified xsi:type="dcterms:W3CDTF">2023-01-10T03:10:05Z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