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135"/>
        </w:tabs>
        <w:overflowPunct w:val="0"/>
        <w:spacing w:line="560" w:lineRule="exact"/>
        <w:jc w:val="left"/>
        <w:rPr>
          <w:rFonts w:hint="eastAsia" w:ascii="黑体" w:hAnsi="黑体" w:eastAsia="黑体" w:cs="黑体"/>
          <w:bCs/>
          <w:color w:val="000000"/>
          <w:kern w:val="21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Cs/>
          <w:color w:val="000000"/>
          <w:kern w:val="21"/>
          <w:sz w:val="32"/>
          <w:szCs w:val="32"/>
          <w:lang w:eastAsia="zh-CN"/>
        </w:rPr>
        <w:t>更正重印件</w:t>
      </w:r>
    </w:p>
    <w:p>
      <w:pPr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FF0000"/>
          <w:sz w:val="8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84"/>
        </w:rPr>
        <w:t>南宁市人民政府文件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95" w:afterLines="30" w:line="580" w:lineRule="exact"/>
        <w:jc w:val="center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1"/>
          <w:sz w:val="32"/>
          <w:szCs w:val="32"/>
        </w:rPr>
        <w:t>南府规〔202</w:t>
      </w:r>
      <w:r>
        <w:rPr>
          <w:rFonts w:hint="default" w:ascii="Times New Roman" w:hAnsi="Times New Roman" w:eastAsia="仿宋_GB2312" w:cs="Times New Roman"/>
          <w:bCs/>
          <w:color w:val="000000"/>
          <w:kern w:val="21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000000"/>
          <w:kern w:val="21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bCs/>
          <w:color w:val="000000"/>
          <w:kern w:val="21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bCs/>
          <w:color w:val="000000"/>
          <w:kern w:val="21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95" w:afterLines="30" w:line="400" w:lineRule="exact"/>
        <w:ind w:firstLine="420" w:firstLineChars="50"/>
        <w:jc w:val="center"/>
        <w:textAlignment w:val="auto"/>
        <w:rPr>
          <w:rFonts w:hint="eastAsia" w:ascii="方正大标宋简体" w:eastAsia="方正大标宋简体"/>
          <w:sz w:val="44"/>
          <w:szCs w:val="44"/>
        </w:rPr>
      </w:pPr>
      <w:r>
        <w:rPr>
          <w:rFonts w:hint="eastAsia" w:eastAsia="方正小标宋简体"/>
          <w:sz w:val="84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21590</wp:posOffset>
                </wp:positionV>
                <wp:extent cx="5592445" cy="0"/>
                <wp:effectExtent l="0" t="15875" r="8255" b="22225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445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6pt;margin-top:1.7pt;height:0pt;width:440.35pt;z-index:251659264;mso-width-relative:page;mso-height-relative:page;" filled="f" stroked="t" coordsize="21600,21600" o:gfxdata="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BoiTA&#10;1QAAAAYBAAAPAAAAAAAAAAEAIAAAACIAAABkcnMvZG93bnJldi54bWxQSwECFAAUAAAACACHTuJA&#10;lwuPResBAADcAwAADgAAAAAAAAABACAAAAAkAQAAZHJzL2Uyb0RvYy54bWxQSwUGAAAAAAYABgBZ&#10;AQAAgQ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南宁市人民政府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关于印发南宁市高龄津贴管理办法的通知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各县（市、区）人民政府，市政府各部门，各管委会，市级各双管单位，市直各事业、企业单位：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《南宁市高龄津贴管理办法》已经市十五届人民政府第27次常务会议审议通过，现印发给你们，请认真贯彻执行。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5280" w:firstLineChars="16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2022年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南宁市高龄津贴管理办法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第一章 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为规范全市高龄津贴工作，提高高龄老年人优待水平，根据《中华人民共和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老年人权益保障法》《广西壮族自治区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老年人优待规定（修订）》等有关规定，结合我市实际，制定本办法。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本办法适用于南宁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行政区域内的高龄津贴工作。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本办法所称的高龄津贴是指政府对具有南宁市行政区域户籍80周岁以上（含80周岁）的老年人发放的津贴。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第四条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高龄津贴工作应遵循属地管理、公平公正、动态管理、分级负担的原则。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南宁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市民政局负责统筹协调、指导监督全市高龄津贴发放工作。县（市、区）人民政府、开发区管委会负责本辖区范围内高龄津贴工作。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第六条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公安、人社、大数据发展等部门负责提供老年人相关数据信息，协助民政部门开展老年人信息查询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核实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比对等工作，为开展高龄津贴工作提供支持。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（市、区）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民政部门、开发区管委会负责做好辖区内高龄津贴发放工作，并指导监督乡（镇）人民政府、街道办事处（以下简称“乡镇（街道）”）做好高龄津贴审批和动态管理工作。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乡镇（街道）负责高龄津贴审批和动态管理工作。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村民委员会、社区居民委员会（以下简称“村（社区）”）协助乡镇（街道）做好高龄津贴相关工作。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第七条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市逐步推行高龄津贴无纸化审批。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第二章  发放标准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发放标准：80周岁至89周岁的老年人，每人每月发放高龄津贴80元；90周岁至99周岁的老年人，每人每月发放高龄津贴150元；100周岁至109周岁的老年人，每人每月发放高龄津贴400元；110周岁及以上的老年人，每人每月发放高龄津贴800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高龄津贴发放标准及发放年龄放宽的调整，根据我市经济社会发展水平、居民收入、物价等因素的变化，由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南宁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市民政局会同相关部门适时统筹研究，报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南宁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市人民政府审定。各县（市、区）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人民政府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、开发区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管委会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可根据各自财力状况适当提高高龄津贴发放标准，所需资金由该辖区财政承担。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第三章  审批和发放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第九条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南宁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市民政局每月5日前进行大数据比对，将比对结果通过南宁市高龄津贴信息管理系统反馈至乡镇（街道），由乡镇（街道）每月28日前核实确定当月新增符合条件的高龄老年人信息，完成高龄津贴审批工作。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数据未覆盖的老年人，可凭老年人身份证、户口本原件，向户籍所在乡镇（街道）或村（社区）提出申请，乡镇（街道）自受理申请之日起5个工作日内完成审批工作。失能、失智或行动不便的老年人可由监护人或家庭成员代为申请，并提交代办委托授权书、代办人身份证复印件；集中供养的特困老年人由所在供养机构代为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第十条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申请人在申请高龄津贴时，应提供老年人银行账号用于领取高龄津贴，因老年人无民事行为能力、限制民事行为能力或失能等特殊原因无法提供老年人银行账号的，可提交其监护人或家庭成员（无家庭成员的为其他近亲属）的银行账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第十一条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老年人年龄、户籍等信息以公安机关户籍登记信息为准。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第十二条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符合条件的老年人自审批通过当月起享受高龄津贴待遇。审批通过之前不予发放高龄津贴。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第十三条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高龄津贴实行社会化发放，每季度发放一次。每季度第二个月月底前，乡镇（街道）将发放名单报县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（市、区）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民政部门、开发区管委会；每季度末月底前，县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（市、区）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民政部门、开发区管委会通过金融机构完成高龄津贴发放工作。当季度未及时发放的高龄津贴，于下个季度予以补发。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第十四条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高龄津贴所需资金纳入各级财政预算，80周岁至89周岁的老年人高龄津贴所需资金，由各县（市、区）、开发区财政全额预算安排；90周岁及以上老年人的高龄津贴资金，由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南宁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市财政全额预算安排。各级财政部门应足额落实高龄津贴资金，并对资金使用情况进行监管。高龄津贴资金应当统筹管理、单独记账、分别核算。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第四章  动态管理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第十五条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乡镇（街道）应建立高龄津贴资格认证工作制度，明确工作责任，每年4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5月、10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11月通过智慧平台完成高龄老年人资格认证。村（社区）应协助乡镇（街道）做好高龄老年人资格认证工作。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因特殊原因无法完成资格认证的高龄老年人，乡镇（街道）应组织人员协助开展资格认证。老年人的家庭成员或监护人应当对高龄老年人资格认证给予帮助。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第十六条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对未完成资格认证的高龄老年人，自未完成资格认证当季度起暂停发放高龄津贴，之后完成资格认证且与上次资格认证间隔时间不超过一年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含一年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的，应补发暂停发放的高龄津贴并按规定继续发放高龄津贴；资格认证间隔时间超过一年的不再补发。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第十七条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享受高龄津贴的老年人银行账户、户籍、联系方式等信息发生变化或高龄津贴金额出现异常的，高龄老年人本人、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家庭成员或其监护人应当及时向户籍所在村（社区）或乡镇（街道）报告。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第十八条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因年龄变化，高龄津贴需要调整发放标准的，不需要提出变更申请。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第十九条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已享受高龄津贴的老年人死亡的，其家庭成员或监护人应当及时向户籍所在村（社区）或乡镇（街道）报告。乡镇（街道）应当自发现老年人死亡之日起90日内办理停发高龄津贴手续。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第二十条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对于高龄津贴金额出现异常的，乡镇（街道）核实后，可在下个季度相应调整高龄津贴额度，并向高龄老年人或其家庭成员、监护人告知调整原因。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第五章  监管与责任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第二十一条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县（市、区）人民政府、开发区管委会应当加强对高龄津贴工作的组织领导，保障县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乡两级工作场所，配齐工作人员，落实工作待遇。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第二十二条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县（市、区）人民政府、开发区管委会应当通过各种方式积极宣传高龄津贴政策。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第二十三条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高龄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老年人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本人、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其家庭成员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监护人等采取虚报、隐瞒、伪造等手段骗取高龄津贴的，县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（市、区）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民政部门、开发区管委会应当停发高龄津贴，责令退回非法获取的高龄津贴，并纳入个人不良信用记录；涉嫌违法犯罪的，依法追究法律责任。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第二十四条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县（市、区）人民政府、开发区管委会应定期开展高龄津贴资金管理、使用情况的监督检查，对不履行或不正确履行高龄津贴工作职责的工作人员，责令限期改正；逾期未改正的，予以通报批评；工作失职失责，造成严重不良影响的，依规依纪依法追究其党纪政务责任。对贪污、截留、挤占、挪用、私分、冒领高龄津贴资金的单位和个人予以严肃查处，依规依纪依法追究其党纪政务责任；构成犯罪的，依照有关规定移交监察机关或公安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第二十五条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因部门数据共享不完善、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高龄老年人本人、其家庭成员或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监护人故意隐瞒等客观原因，导致高龄津贴多发、错发等情况，相关经办人员勤勉尽责、未谋取私利且及时纠错改正，符合《南宁市容错纠错实施办法（试行）》相关规定可予以容错的，综合考量失误或错误的性质程度、后果影响及挽回损失等情况，依纪依法予以免责或减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第六章 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第二十六条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本办法自2022年1月1日起施行，有效期5年。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第二十七条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本办法具体应用问题由南宁市民政局负责解释。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default" w:ascii="Times New Roman" w:hAnsi="Times New Roman" w:eastAsia="黑体" w:cs="Times New Roman"/>
          <w:color w:val="000000"/>
          <w:sz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</w:rPr>
        <w:t>此件公开发布</w:t>
      </w:r>
    </w:p>
    <w:p>
      <w:pPr>
        <w:adjustRightInd w:val="0"/>
        <w:snapToGrid w:val="0"/>
        <w:spacing w:line="200" w:lineRule="exact"/>
        <w:rPr>
          <w:rFonts w:hint="default" w:ascii="Times New Roman" w:hAnsi="Times New Roman" w:eastAsia="黑体" w:cs="Times New Roman"/>
          <w:color w:val="000000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912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1pt;height:0pt;width:456pt;z-index:251660288;mso-width-relative:page;mso-height-relative:page;" filled="f" stroked="t" coordsize="21600,21600" o:gfxdata="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lzpTLQAAAAAgEA&#10;AA8AAAAAAAAAAQAgAAAAIgAAAGRycy9kb3ducmV2LnhtbFBLAQIUABQAAAAIAIdO4kCXRXcz6QEA&#10;ALgDAAAOAAAAAAAAAAEAIAAAAB8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抄送：市委各部门，南宁警备区，各人民团体。</w:t>
      </w:r>
    </w:p>
    <w:p>
      <w:pPr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市人大常委会办公室，市政协办公室，市中级法院，市检察院。</w:t>
      </w:r>
    </w:p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各民主党派市委会，市工商联。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</w:t>
      </w:r>
    </w:p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79120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75pt;height:0pt;width:456pt;z-index:251662336;mso-width-relative:page;mso-height-relative:page;" filled="f" stroked="t" coordsize="21600,21600" o:gfxdata="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zMb9T0QAAAAQB&#10;AAAPAAAAAAAAAAEAIAAAACIAAABkcnMvZG93bnJldi54bWxQSwECFAAUAAAACACHTuJANdm7g+kB&#10;AAC6AwAADgAAAAAAAAABACAAAAAg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南宁市人民政府办公室 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202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日印发</w:t>
      </w:r>
    </w:p>
    <w:p>
      <w:pPr>
        <w:spacing w:line="500" w:lineRule="exact"/>
        <w:ind w:firstLine="320" w:firstLineChars="10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5004435</wp:posOffset>
            </wp:positionH>
            <wp:positionV relativeFrom="page">
              <wp:posOffset>9018905</wp:posOffset>
            </wp:positionV>
            <wp:extent cx="1790700" cy="476250"/>
            <wp:effectExtent l="0" t="0" r="0" b="0"/>
            <wp:wrapNone/>
            <wp:docPr id="2" name="图片 6" descr="/tmp/公文二维码v1660095382615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/tmp/公文二维码v166009538261564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912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95pt;height:0pt;width:456pt;z-index:251661312;mso-width-relative:page;mso-height-relative:page;" filled="f" stroked="t" coordsize="21600,21600" o:gfxdata="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vWAUh9IAAAAE&#10;AQAADwAAAAAAAAABACAAAAAiAAAAZHJzL2Rvd25yZXYueG1sUEsBAhQAFAAAAAgAh07iQDFcTHfp&#10;AQAAuAMAAA4AAAAAAAAAAQAgAAAAI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bookmarkEnd w:id="0"/>
    <w:sectPr>
      <w:footerReference r:id="rId3" w:type="default"/>
      <w:footerReference r:id="rId4" w:type="even"/>
      <w:pgSz w:w="11906" w:h="16838"/>
      <w:pgMar w:top="1871" w:right="1247" w:bottom="1985" w:left="1588" w:header="1134" w:footer="1418" w:gutter="0"/>
      <w:pgNumType w:fmt="numberInDash" w:start="1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标宋简体">
    <w:altName w:val="Arial Unicode MS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/>
      <w:jc w:val="right"/>
    </w:pPr>
    <w:r>
      <w:rPr>
        <w:rFonts w:hint="eastAsia" w:ascii="仿宋_GB2312"/>
        <w:sz w:val="32"/>
        <w:szCs w:val="32"/>
      </w:rPr>
      <w:fldChar w:fldCharType="begin"/>
    </w:r>
    <w:r>
      <w:rPr>
        <w:rFonts w:hint="eastAsia" w:ascii="仿宋_GB2312"/>
        <w:sz w:val="32"/>
        <w:szCs w:val="32"/>
      </w:rPr>
      <w:instrText xml:space="preserve">PAGE   \* MERGEFORMAT</w:instrText>
    </w:r>
    <w:r>
      <w:rPr>
        <w:rFonts w:hint="eastAsia" w:ascii="仿宋_GB2312"/>
        <w:sz w:val="32"/>
        <w:szCs w:val="32"/>
      </w:rPr>
      <w:fldChar w:fldCharType="separate"/>
    </w:r>
    <w:r>
      <w:rPr>
        <w:rFonts w:ascii="仿宋_GB2312"/>
        <w:sz w:val="32"/>
        <w:szCs w:val="32"/>
        <w:lang w:val="zh-CN"/>
      </w:rPr>
      <w:t>-</w:t>
    </w:r>
    <w:r>
      <w:rPr>
        <w:rFonts w:ascii="仿宋_GB2312"/>
        <w:sz w:val="32"/>
        <w:szCs w:val="32"/>
        <w:lang/>
      </w:rPr>
      <w:t xml:space="preserve"> 1 -</w:t>
    </w:r>
    <w:r>
      <w:rPr>
        <w:rFonts w:hint="eastAsia" w:ascii="仿宋_GB2312"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20" w:firstLineChars="100"/>
    </w:pPr>
    <w:r>
      <w:rPr>
        <w:rFonts w:hint="eastAsia" w:ascii="仿宋_GB2312"/>
        <w:sz w:val="32"/>
        <w:szCs w:val="32"/>
      </w:rPr>
      <w:fldChar w:fldCharType="begin"/>
    </w:r>
    <w:r>
      <w:rPr>
        <w:rFonts w:hint="eastAsia" w:ascii="仿宋_GB2312"/>
        <w:sz w:val="32"/>
        <w:szCs w:val="32"/>
      </w:rPr>
      <w:instrText xml:space="preserve">PAGE   \* MERGEFORMAT</w:instrText>
    </w:r>
    <w:r>
      <w:rPr>
        <w:rFonts w:hint="eastAsia" w:ascii="仿宋_GB2312"/>
        <w:sz w:val="32"/>
        <w:szCs w:val="32"/>
      </w:rPr>
      <w:fldChar w:fldCharType="separate"/>
    </w:r>
    <w:r>
      <w:rPr>
        <w:rFonts w:ascii="仿宋_GB2312"/>
        <w:sz w:val="32"/>
        <w:szCs w:val="32"/>
        <w:lang w:val="zh-CN"/>
      </w:rPr>
      <w:t>-</w:t>
    </w:r>
    <w:r>
      <w:rPr>
        <w:rFonts w:ascii="仿宋_GB2312"/>
        <w:sz w:val="32"/>
        <w:szCs w:val="32"/>
        <w:lang/>
      </w:rPr>
      <w:t xml:space="preserve"> 2 -</w:t>
    </w:r>
    <w:r>
      <w:rPr>
        <w:rFonts w:hint="eastAsia" w:ascii="仿宋_GB2312"/>
        <w:sz w:val="32"/>
        <w:szCs w:val="3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E5"/>
    <w:rsid w:val="00033F1F"/>
    <w:rsid w:val="001270CD"/>
    <w:rsid w:val="001D4BCD"/>
    <w:rsid w:val="001D6C8F"/>
    <w:rsid w:val="002B7561"/>
    <w:rsid w:val="003D135B"/>
    <w:rsid w:val="003F782B"/>
    <w:rsid w:val="004B35D4"/>
    <w:rsid w:val="0053215B"/>
    <w:rsid w:val="005C7150"/>
    <w:rsid w:val="00625DE5"/>
    <w:rsid w:val="006A5CEA"/>
    <w:rsid w:val="00933052"/>
    <w:rsid w:val="00962E17"/>
    <w:rsid w:val="00980B1A"/>
    <w:rsid w:val="00BE0AC6"/>
    <w:rsid w:val="00DA16CD"/>
    <w:rsid w:val="00EF29C0"/>
    <w:rsid w:val="44CC099D"/>
    <w:rsid w:val="97FE628F"/>
    <w:rsid w:val="BDD57972"/>
    <w:rsid w:val="BFFB3AB7"/>
    <w:rsid w:val="CEEFA873"/>
    <w:rsid w:val="EDFD70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rFonts w:eastAsia="仿宋_GB2312"/>
      <w:kern w:val="2"/>
      <w:sz w:val="18"/>
      <w:szCs w:val="18"/>
    </w:rPr>
  </w:style>
  <w:style w:type="character" w:customStyle="1" w:styleId="7">
    <w:name w:val="页眉 Char"/>
    <w:link w:val="3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2894</Words>
  <Characters>2936</Characters>
  <Lines>1</Lines>
  <Paragraphs>1</Paragraphs>
  <TotalTime>1</TotalTime>
  <ScaleCrop>false</ScaleCrop>
  <LinksUpToDate>false</LinksUpToDate>
  <CharactersWithSpaces>3051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2008-04-04T18:37:00Z</dcterms:created>
  <dc:creator>覃丽</dc:creator>
  <cp:lastModifiedBy>Administrator</cp:lastModifiedBy>
  <cp:lastPrinted>2008-04-04T18:40:00Z</cp:lastPrinted>
  <dcterms:modified xsi:type="dcterms:W3CDTF">2022-09-22T04:34:39Z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发文编号">
    <vt:lpwstr>ı</vt:lpwstr>
  </property>
  <property fmtid="{D5CDD505-2E9C-101B-9397-08002B2CF9AE}" pid="3" name="签发人">
    <vt:lpwstr>ǩ</vt:lpwstr>
  </property>
  <property fmtid="{D5CDD505-2E9C-101B-9397-08002B2CF9AE}" pid="4" name="签发人：">
    <vt:lpwstr>ǩˣ</vt:lpwstr>
  </property>
  <property fmtid="{D5CDD505-2E9C-101B-9397-08002B2CF9AE}" pid="5" name="楷体">
    <vt:lpwstr/>
  </property>
  <property fmtid="{D5CDD505-2E9C-101B-9397-08002B2CF9AE}" pid="6" name="（网络传输）">
    <vt:lpwstr>紫䣩</vt:lpwstr>
  </property>
  <property fmtid="{D5CDD505-2E9C-101B-9397-08002B2CF9AE}" pid="7" name="文件标题">
    <vt:lpwstr>ļ</vt:lpwstr>
  </property>
  <property fmtid="{D5CDD505-2E9C-101B-9397-08002B2CF9AE}" pid="8" name="正文">
    <vt:lpwstr/>
  </property>
  <property fmtid="{D5CDD505-2E9C-101B-9397-08002B2CF9AE}" pid="9" name="正文部分">
    <vt:lpwstr>Ĳ</vt:lpwstr>
  </property>
  <property fmtid="{D5CDD505-2E9C-101B-9397-08002B2CF9AE}" pid="10" name="文件编号">
    <vt:lpwstr>ļ</vt:lpwstr>
  </property>
  <property fmtid="{D5CDD505-2E9C-101B-9397-08002B2CF9AE}" pid="11" name="KSOProductBuildVer">
    <vt:lpwstr>2052-11.1.0.12358</vt:lpwstr>
  </property>
  <property fmtid="{D5CDD505-2E9C-101B-9397-08002B2CF9AE}" pid="12" name="ICV">
    <vt:lpwstr>283D0D022D4D456C9BDBBF7F64DD9473</vt:lpwstr>
  </property>
</Properties>
</file>