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1-3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color w:val="0C0C0C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color w:val="0C0C0C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贵州省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医疗保障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信用评价标准（定点医药机构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  <w:lang w:val="en-US" w:eastAsia="zh-CN"/>
        </w:rPr>
        <w:t>相关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工作人员）</w:t>
      </w:r>
    </w:p>
    <w:bookmarkEnd w:id="0"/>
    <w:tbl>
      <w:tblPr>
        <w:tblStyle w:val="3"/>
        <w:tblW w:w="127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050"/>
        <w:gridCol w:w="1320"/>
        <w:gridCol w:w="780"/>
        <w:gridCol w:w="3810"/>
        <w:gridCol w:w="50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一级指标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二级指标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tabs>
                <w:tab w:val="left" w:pos="405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评级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依据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评</w:t>
            </w:r>
            <w:r>
              <w:rPr>
                <w:rFonts w:hint="eastAsia" w:ascii="仿宋_GB2312" w:hAnsi="宋体" w:cs="仿宋_GB2312"/>
                <w:color w:val="0C0C0C"/>
                <w:sz w:val="24"/>
                <w:lang w:val="en-US" w:eastAsia="zh-CN"/>
              </w:rPr>
              <w:t>价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规则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1</w:t>
            </w:r>
          </w:p>
        </w:tc>
        <w:tc>
          <w:tcPr>
            <w:tcW w:w="1050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服务管理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违规服务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C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《医疗保障定点医疗机构服务协议》《医疗保障定点零售药店服务协议》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存在“一般违约责任”所列相关情形之一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受到医保经办机构处理的。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2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D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存在“较重违约责任”所列相关情形之一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受到医保经办机构处理的。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3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D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存在“严重违约责任”所列相关情形之一，受到医保经办机构处理的。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4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E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存在“特别严重违约责任”所列相关情形之一，受到医保经办机构处理的。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行政处理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行政处罚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D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《医疗保障基金使用监督管理条例》等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受到相关行政部门行政处罚的。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纪检处理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调查处置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E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《医疗保障基金使用监督管理条例》等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因医保方面问题，受到纪律检查或监察部门处理的。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司法处理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司法处理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E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《医疗保障基金使用监督管理条例》等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因欺诈骗保被司法机关追究治安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刑事责任的。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21947BE4"/>
    <w:rsid w:val="2194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2022-11-03T08:52:00Z</dcterms:created>
  <dc:creator>吴钰鑫</dc:creator>
  <cp:lastModifiedBy>吴钰鑫</cp:lastModifiedBy>
  <dcterms:modified xsi:type="dcterms:W3CDTF">2022-11-03T08:52:14Z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5D2753E252C64F1AA4AD280AFE025AF2</vt:lpwstr>
  </property>
</Properties>
</file>