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eastAsia" w:ascii="方正小标宋简体" w:hAnsi="黑体" w:eastAsia="方正小标宋简体"/>
          <w:sz w:val="44"/>
          <w:szCs w:val="44"/>
        </w:rPr>
      </w:pPr>
    </w:p>
    <w:p>
      <w:pPr>
        <w:spacing w:line="560" w:lineRule="exact"/>
        <w:jc w:val="center"/>
        <w:rPr>
          <w:rFonts w:hint="eastAsia" w:ascii="方正小标宋简体" w:hAnsi="楷体_GB2312" w:eastAsia="方正小标宋简体" w:cs="楷体_GB2312"/>
          <w:bCs/>
          <w:sz w:val="44"/>
          <w:szCs w:val="44"/>
        </w:rPr>
      </w:pPr>
      <w:r>
        <w:rPr>
          <w:rFonts w:hint="eastAsia" w:ascii="方正小标宋简体" w:hAnsi="楷体_GB2312" w:eastAsia="方正小标宋简体" w:cs="楷体_GB2312"/>
          <w:bCs/>
          <w:sz w:val="44"/>
          <w:szCs w:val="44"/>
        </w:rPr>
        <w:t>自治区2022年调整退休人员</w:t>
      </w:r>
    </w:p>
    <w:p>
      <w:pPr>
        <w:spacing w:line="560" w:lineRule="exact"/>
        <w:jc w:val="center"/>
        <w:rPr>
          <w:rFonts w:ascii="黑体" w:hAnsi="黑体" w:eastAsia="黑体"/>
          <w:sz w:val="32"/>
          <w:szCs w:val="32"/>
        </w:rPr>
      </w:pPr>
      <w:r>
        <w:rPr>
          <w:rFonts w:hint="eastAsia" w:ascii="方正小标宋简体" w:hAnsi="楷体_GB2312" w:eastAsia="方正小标宋简体" w:cs="楷体_GB2312"/>
          <w:bCs/>
          <w:sz w:val="44"/>
          <w:szCs w:val="44"/>
        </w:rPr>
        <w:t>基本养老金宣传提纲</w:t>
      </w:r>
    </w:p>
    <w:p>
      <w:pPr>
        <w:spacing w:line="560" w:lineRule="exact"/>
        <w:ind w:firstLine="420" w:firstLineChars="200"/>
      </w:pPr>
    </w:p>
    <w:p>
      <w:pPr>
        <w:spacing w:line="580" w:lineRule="exact"/>
        <w:ind w:firstLine="640" w:firstLineChars="200"/>
        <w:rPr>
          <w:rFonts w:ascii="黑体" w:hAnsi="仿宋" w:eastAsia="黑体"/>
          <w:color w:val="000000"/>
          <w:sz w:val="32"/>
          <w:szCs w:val="32"/>
        </w:rPr>
      </w:pPr>
      <w:r>
        <w:rPr>
          <w:rFonts w:hint="eastAsia" w:ascii="黑体" w:hAnsi="黑体" w:eastAsia="黑体" w:cs="黑体"/>
          <w:sz w:val="32"/>
        </w:rPr>
        <w:t>一、2022年调整基本养老金的背景是什么？</w:t>
      </w:r>
    </w:p>
    <w:p>
      <w:pPr>
        <w:spacing w:line="580" w:lineRule="exact"/>
        <w:ind w:firstLine="640" w:firstLineChars="200"/>
        <w:rPr>
          <w:rFonts w:ascii="仿宋_GB2312" w:eastAsia="仿宋_GB2312"/>
          <w:sz w:val="32"/>
          <w:szCs w:val="21"/>
        </w:rPr>
      </w:pPr>
      <w:r>
        <w:rPr>
          <w:rFonts w:hint="eastAsia" w:ascii="仿宋_GB2312" w:eastAsia="仿宋_GB2312"/>
          <w:sz w:val="32"/>
          <w:szCs w:val="21"/>
        </w:rPr>
        <w:t>党中央、国务院十分重视和关怀退休人员基本生活。习近平总书记强调，</w:t>
      </w:r>
      <w:r>
        <w:rPr>
          <w:rFonts w:ascii="仿宋_GB2312" w:eastAsia="仿宋_GB2312"/>
          <w:sz w:val="32"/>
          <w:szCs w:val="21"/>
        </w:rPr>
        <w:t>社会保障关乎人民最关心最直接最现实的利益问题，要顺应人民对高品质生活的期待，坚持实事求是，既尽力而为、又量力而行，把提高社会保障水平建立在经济和财力可持续增长的基础上。</w:t>
      </w:r>
      <w:r>
        <w:rPr>
          <w:rFonts w:hint="eastAsia" w:ascii="仿宋_GB2312" w:eastAsia="仿宋_GB2312"/>
          <w:sz w:val="32"/>
          <w:szCs w:val="21"/>
        </w:rPr>
        <w:t>李克强总理</w:t>
      </w:r>
      <w:r>
        <w:rPr>
          <w:rFonts w:ascii="仿宋_GB2312" w:eastAsia="仿宋_GB2312"/>
          <w:sz w:val="32"/>
          <w:szCs w:val="21"/>
        </w:rPr>
        <w:t>在2022年政府工作报告中</w:t>
      </w:r>
      <w:r>
        <w:rPr>
          <w:rFonts w:hint="eastAsia" w:ascii="仿宋_GB2312" w:eastAsia="仿宋_GB2312"/>
          <w:sz w:val="32"/>
          <w:szCs w:val="21"/>
        </w:rPr>
        <w:t>提出</w:t>
      </w:r>
      <w:r>
        <w:rPr>
          <w:rFonts w:ascii="仿宋_GB2312" w:eastAsia="仿宋_GB2312"/>
          <w:sz w:val="32"/>
          <w:szCs w:val="21"/>
        </w:rPr>
        <w:t>适度提高退休人员基本养老金</w:t>
      </w:r>
      <w:r>
        <w:rPr>
          <w:rFonts w:hint="eastAsia" w:ascii="仿宋_GB2312" w:eastAsia="仿宋_GB2312"/>
          <w:sz w:val="32"/>
          <w:szCs w:val="21"/>
        </w:rPr>
        <w:t>。</w:t>
      </w:r>
    </w:p>
    <w:p>
      <w:pPr>
        <w:spacing w:line="580" w:lineRule="exact"/>
        <w:ind w:firstLine="640" w:firstLineChars="200"/>
        <w:rPr>
          <w:rFonts w:ascii="仿宋_GB2312" w:eastAsia="仿宋_GB2312"/>
          <w:sz w:val="32"/>
          <w:szCs w:val="21"/>
        </w:rPr>
      </w:pPr>
      <w:r>
        <w:rPr>
          <w:rFonts w:ascii="仿宋_GB2312" w:eastAsia="仿宋_GB2312"/>
          <w:sz w:val="32"/>
          <w:szCs w:val="21"/>
        </w:rPr>
        <w:t>2021</w:t>
      </w:r>
      <w:r>
        <w:rPr>
          <w:rFonts w:hint="eastAsia" w:ascii="仿宋_GB2312" w:eastAsia="仿宋_GB2312"/>
          <w:sz w:val="32"/>
          <w:szCs w:val="21"/>
        </w:rPr>
        <w:t>年新冠肺炎疫情对我国经济、社会造成一定影响。但是我国物价、城镇</w:t>
      </w:r>
      <w:r>
        <w:rPr>
          <w:rFonts w:ascii="仿宋_GB2312" w:eastAsia="仿宋_GB2312"/>
          <w:sz w:val="32"/>
          <w:szCs w:val="21"/>
        </w:rPr>
        <w:t>单位就业人员</w:t>
      </w:r>
      <w:r>
        <w:rPr>
          <w:rFonts w:hint="eastAsia" w:ascii="仿宋_GB2312" w:eastAsia="仿宋_GB2312"/>
          <w:sz w:val="32"/>
          <w:szCs w:val="21"/>
        </w:rPr>
        <w:t>职工平均工资有一定程度上涨，党中央、国务院决定</w:t>
      </w:r>
      <w:r>
        <w:rPr>
          <w:rFonts w:ascii="仿宋_GB2312" w:eastAsia="仿宋_GB2312"/>
          <w:sz w:val="32"/>
          <w:szCs w:val="21"/>
        </w:rPr>
        <w:t>2022</w:t>
      </w:r>
      <w:r>
        <w:rPr>
          <w:rFonts w:hint="eastAsia" w:ascii="仿宋_GB2312" w:eastAsia="仿宋_GB2312"/>
          <w:sz w:val="32"/>
          <w:szCs w:val="21"/>
        </w:rPr>
        <w:t>年继续统一安排、同步调整企业和机关事业单位退休人员基本养老金水平。适当提高企业和机关事业单位退休人员基本养老金，</w:t>
      </w:r>
      <w:r>
        <w:rPr>
          <w:rFonts w:ascii="仿宋_GB2312" w:eastAsia="仿宋_GB2312"/>
          <w:sz w:val="32"/>
          <w:szCs w:val="21"/>
        </w:rPr>
        <w:t>切实保障退休人员的基本生活，</w:t>
      </w:r>
      <w:r>
        <w:rPr>
          <w:rFonts w:hint="eastAsia" w:ascii="仿宋_GB2312" w:eastAsia="仿宋_GB2312"/>
          <w:sz w:val="32"/>
          <w:szCs w:val="21"/>
        </w:rPr>
        <w:t>充分体现了党中央、国务院对广大退休人员的关心和照顾。</w:t>
      </w:r>
    </w:p>
    <w:p>
      <w:pPr>
        <w:spacing w:line="580" w:lineRule="exact"/>
        <w:ind w:firstLine="640" w:firstLineChars="200"/>
        <w:rPr>
          <w:rFonts w:hint="eastAsia" w:ascii="黑体" w:hAnsi="黑体" w:eastAsia="黑体" w:cs="黑体"/>
          <w:sz w:val="32"/>
        </w:rPr>
      </w:pPr>
      <w:r>
        <w:rPr>
          <w:rFonts w:hint="eastAsia" w:ascii="黑体" w:hAnsi="黑体" w:eastAsia="黑体" w:cs="黑体"/>
          <w:sz w:val="32"/>
        </w:rPr>
        <w:t>二、</w:t>
      </w:r>
      <w:r>
        <w:rPr>
          <w:rFonts w:ascii="黑体" w:hAnsi="黑体" w:eastAsia="黑体" w:cs="黑体"/>
          <w:sz w:val="32"/>
        </w:rPr>
        <w:t>20</w:t>
      </w:r>
      <w:r>
        <w:rPr>
          <w:rFonts w:hint="eastAsia" w:ascii="黑体" w:hAnsi="黑体" w:eastAsia="黑体" w:cs="黑体"/>
          <w:sz w:val="32"/>
        </w:rPr>
        <w:t>22</w:t>
      </w:r>
      <w:r>
        <w:rPr>
          <w:rFonts w:ascii="黑体" w:hAnsi="黑体" w:eastAsia="黑体" w:cs="黑体"/>
          <w:sz w:val="32"/>
        </w:rPr>
        <w:t>年调整多少？这一水平是如何考虑的？</w:t>
      </w:r>
    </w:p>
    <w:p>
      <w:pPr>
        <w:spacing w:line="580" w:lineRule="exact"/>
        <w:ind w:firstLine="640" w:firstLineChars="200"/>
        <w:rPr>
          <w:rFonts w:ascii="仿宋_GB2312" w:eastAsia="仿宋_GB2312"/>
          <w:sz w:val="32"/>
          <w:szCs w:val="21"/>
        </w:rPr>
      </w:pPr>
      <w:r>
        <w:rPr>
          <w:rFonts w:ascii="仿宋_GB2312" w:eastAsia="仿宋_GB2312"/>
          <w:sz w:val="32"/>
          <w:szCs w:val="21"/>
        </w:rPr>
        <w:t>2022</w:t>
      </w:r>
      <w:r>
        <w:rPr>
          <w:rFonts w:hint="eastAsia" w:ascii="仿宋_GB2312" w:eastAsia="仿宋_GB2312"/>
          <w:sz w:val="32"/>
          <w:szCs w:val="21"/>
        </w:rPr>
        <w:t>年全国总体调整比例按照</w:t>
      </w:r>
      <w:r>
        <w:rPr>
          <w:rFonts w:ascii="仿宋_GB2312" w:eastAsia="仿宋_GB2312"/>
          <w:sz w:val="32"/>
          <w:szCs w:val="21"/>
        </w:rPr>
        <w:t>2021</w:t>
      </w:r>
      <w:r>
        <w:rPr>
          <w:rFonts w:hint="eastAsia" w:ascii="仿宋_GB2312" w:eastAsia="仿宋_GB2312"/>
          <w:sz w:val="32"/>
          <w:szCs w:val="21"/>
        </w:rPr>
        <w:t>年退休人员月人均基本养老金的4%确定。基本养老金调整，是一项社会政策，要突出保基本兜底线功能，确保退休人员基本生活。国家根据职工平均工资增长、物价上涨和经济社会发展</w:t>
      </w:r>
      <w:bookmarkStart w:id="0" w:name="_GoBack"/>
      <w:bookmarkEnd w:id="0"/>
      <w:r>
        <w:rPr>
          <w:rFonts w:hint="eastAsia" w:ascii="仿宋_GB2312" w:eastAsia="仿宋_GB2312"/>
          <w:sz w:val="32"/>
          <w:szCs w:val="21"/>
        </w:rPr>
        <w:t>情况，适时提高基本养老保险待遇水平。</w:t>
      </w:r>
      <w:r>
        <w:rPr>
          <w:rFonts w:ascii="仿宋_GB2312" w:eastAsia="仿宋_GB2312"/>
          <w:sz w:val="32"/>
          <w:szCs w:val="21"/>
        </w:rPr>
        <w:t>2021</w:t>
      </w:r>
      <w:r>
        <w:rPr>
          <w:rFonts w:hint="eastAsia" w:ascii="仿宋_GB2312" w:eastAsia="仿宋_GB2312"/>
          <w:sz w:val="32"/>
          <w:szCs w:val="21"/>
        </w:rPr>
        <w:t>年我国物价和城镇职工平均工资都有一定程度的上涨，综合考虑基金可支撑能力</w:t>
      </w:r>
      <w:r>
        <w:rPr>
          <w:rFonts w:ascii="仿宋_GB2312" w:eastAsia="仿宋_GB2312"/>
          <w:sz w:val="32"/>
          <w:szCs w:val="21"/>
        </w:rPr>
        <w:t>、经济形势等</w:t>
      </w:r>
      <w:r>
        <w:rPr>
          <w:rFonts w:hint="eastAsia" w:ascii="仿宋_GB2312" w:eastAsia="仿宋_GB2312"/>
          <w:sz w:val="32"/>
          <w:szCs w:val="21"/>
        </w:rPr>
        <w:t>多种因素，</w:t>
      </w:r>
      <w:r>
        <w:rPr>
          <w:rFonts w:ascii="仿宋_GB2312" w:eastAsia="仿宋_GB2312"/>
          <w:sz w:val="32"/>
          <w:szCs w:val="21"/>
        </w:rPr>
        <w:t>2022</w:t>
      </w:r>
      <w:r>
        <w:rPr>
          <w:rFonts w:hint="eastAsia" w:ascii="仿宋_GB2312" w:eastAsia="仿宋_GB2312"/>
          <w:sz w:val="32"/>
          <w:szCs w:val="21"/>
        </w:rPr>
        <w:t>年</w:t>
      </w:r>
      <w:r>
        <w:rPr>
          <w:rFonts w:ascii="仿宋_GB2312" w:eastAsia="仿宋_GB2312"/>
          <w:sz w:val="32"/>
          <w:szCs w:val="21"/>
        </w:rPr>
        <w:t>退休人员基本养老金调整比例确定为4%</w:t>
      </w:r>
      <w:r>
        <w:rPr>
          <w:rFonts w:hint="eastAsia" w:ascii="仿宋_GB2312" w:eastAsia="仿宋_GB2312"/>
          <w:sz w:val="32"/>
          <w:szCs w:val="21"/>
        </w:rPr>
        <w:t>，既有利于保障</w:t>
      </w:r>
      <w:r>
        <w:rPr>
          <w:rFonts w:ascii="仿宋_GB2312" w:eastAsia="仿宋_GB2312"/>
          <w:sz w:val="32"/>
          <w:szCs w:val="21"/>
        </w:rPr>
        <w:t>退休人员</w:t>
      </w:r>
      <w:r>
        <w:rPr>
          <w:rFonts w:hint="eastAsia" w:ascii="仿宋_GB2312" w:eastAsia="仿宋_GB2312"/>
          <w:sz w:val="32"/>
          <w:szCs w:val="21"/>
        </w:rPr>
        <w:t>的基本生活，也体现了“尽力而为、量力而行”的要求。</w:t>
      </w:r>
    </w:p>
    <w:p>
      <w:pPr>
        <w:spacing w:line="580" w:lineRule="exact"/>
        <w:ind w:firstLine="640" w:firstLineChars="200"/>
        <w:rPr>
          <w:rFonts w:ascii="黑体" w:hAnsi="仿宋" w:eastAsia="黑体"/>
          <w:color w:val="000000"/>
          <w:sz w:val="32"/>
          <w:szCs w:val="32"/>
        </w:rPr>
      </w:pPr>
      <w:r>
        <w:rPr>
          <w:rFonts w:hint="eastAsia" w:ascii="黑体" w:hAnsi="黑体" w:eastAsia="黑体" w:cs="黑体"/>
          <w:sz w:val="32"/>
        </w:rPr>
        <w:t>三、今年调整基本养老金的人员范围和时间是如何规定的？为什么这样安排？</w:t>
      </w:r>
      <w:r>
        <w:rPr>
          <w:rFonts w:hint="eastAsia" w:ascii="黑体" w:hAnsi="仿宋" w:eastAsia="黑体"/>
          <w:color w:val="000000"/>
          <w:sz w:val="32"/>
          <w:szCs w:val="32"/>
        </w:rPr>
        <w:t xml:space="preserve"> </w:t>
      </w:r>
    </w:p>
    <w:p>
      <w:pPr>
        <w:spacing w:line="580" w:lineRule="exact"/>
        <w:ind w:firstLine="640" w:firstLineChars="200"/>
        <w:rPr>
          <w:rFonts w:ascii="仿宋_GB2312" w:eastAsia="仿宋_GB2312"/>
          <w:sz w:val="32"/>
          <w:szCs w:val="21"/>
        </w:rPr>
      </w:pPr>
      <w:r>
        <w:rPr>
          <w:rFonts w:hint="eastAsia" w:ascii="仿宋_GB2312" w:eastAsia="仿宋_GB2312"/>
          <w:sz w:val="32"/>
          <w:szCs w:val="21"/>
        </w:rPr>
        <w:t>此次调整基本养老金的人员范围是，</w:t>
      </w:r>
      <w:r>
        <w:rPr>
          <w:rFonts w:ascii="仿宋_GB2312" w:eastAsia="仿宋_GB2312"/>
          <w:sz w:val="32"/>
          <w:szCs w:val="21"/>
        </w:rPr>
        <w:t>2021</w:t>
      </w:r>
      <w:r>
        <w:rPr>
          <w:rFonts w:hint="eastAsia" w:ascii="仿宋_GB2312" w:eastAsia="仿宋_GB2312"/>
          <w:sz w:val="32"/>
          <w:szCs w:val="21"/>
        </w:rPr>
        <w:t>年12月31日前已按规定办理退休手续并按月领取基本养老金的企业和机关事业单位的退休人员</w:t>
      </w:r>
      <w:r>
        <w:rPr>
          <w:rFonts w:ascii="仿宋_GB2312" w:eastAsia="仿宋_GB2312"/>
          <w:sz w:val="32"/>
          <w:szCs w:val="21"/>
        </w:rPr>
        <w:t>。</w:t>
      </w:r>
      <w:r>
        <w:rPr>
          <w:rFonts w:hint="eastAsia" w:ascii="仿宋_GB2312" w:eastAsia="仿宋_GB2312"/>
          <w:sz w:val="32"/>
          <w:szCs w:val="21"/>
        </w:rPr>
        <w:t>调整的时间，从</w:t>
      </w:r>
      <w:r>
        <w:rPr>
          <w:rFonts w:ascii="仿宋_GB2312" w:eastAsia="仿宋_GB2312"/>
          <w:sz w:val="32"/>
          <w:szCs w:val="21"/>
        </w:rPr>
        <w:t>2022</w:t>
      </w:r>
      <w:r>
        <w:rPr>
          <w:rFonts w:hint="eastAsia" w:ascii="仿宋_GB2312" w:eastAsia="仿宋_GB2312"/>
          <w:sz w:val="32"/>
          <w:szCs w:val="21"/>
        </w:rPr>
        <w:t>年1月1日起。这样的安排，是我国职工基本养老保险制度待遇确定机制决定的。按照现行制度，无论是企业，还是机关事业单位，都同样实行与职工平均工资以及个人缴费情况挂钩的基本养老金计发办法。简单的说，</w:t>
      </w:r>
      <w:r>
        <w:rPr>
          <w:rFonts w:ascii="仿宋_GB2312" w:eastAsia="仿宋_GB2312"/>
          <w:sz w:val="32"/>
          <w:szCs w:val="21"/>
        </w:rPr>
        <w:t>2022</w:t>
      </w:r>
      <w:r>
        <w:rPr>
          <w:rFonts w:hint="eastAsia" w:ascii="仿宋_GB2312" w:eastAsia="仿宋_GB2312"/>
          <w:sz w:val="32"/>
          <w:szCs w:val="21"/>
        </w:rPr>
        <w:t>年新退休人员退休时基本养老金以</w:t>
      </w:r>
      <w:r>
        <w:rPr>
          <w:rFonts w:ascii="仿宋_GB2312" w:eastAsia="仿宋_GB2312"/>
          <w:sz w:val="32"/>
          <w:szCs w:val="21"/>
        </w:rPr>
        <w:t>2021</w:t>
      </w:r>
      <w:r>
        <w:rPr>
          <w:rFonts w:hint="eastAsia" w:ascii="仿宋_GB2312" w:eastAsia="仿宋_GB2312"/>
          <w:sz w:val="32"/>
          <w:szCs w:val="21"/>
        </w:rPr>
        <w:t>年职工平均工资为计发基数，在退休时已适当分享上年经济社会发展成果</w:t>
      </w:r>
      <w:r>
        <w:rPr>
          <w:rFonts w:ascii="仿宋_GB2312" w:eastAsia="仿宋_GB2312"/>
          <w:sz w:val="32"/>
          <w:szCs w:val="21"/>
        </w:rPr>
        <w:t>，</w:t>
      </w:r>
      <w:r>
        <w:rPr>
          <w:rFonts w:hint="eastAsia" w:ascii="仿宋_GB2312" w:eastAsia="仿宋_GB2312"/>
          <w:sz w:val="32"/>
          <w:szCs w:val="21"/>
        </w:rPr>
        <w:t>而</w:t>
      </w:r>
      <w:r>
        <w:rPr>
          <w:rFonts w:ascii="仿宋_GB2312" w:eastAsia="仿宋_GB2312"/>
          <w:sz w:val="32"/>
          <w:szCs w:val="21"/>
        </w:rPr>
        <w:t>2021</w:t>
      </w:r>
      <w:r>
        <w:rPr>
          <w:rFonts w:hint="eastAsia" w:ascii="仿宋_GB2312" w:eastAsia="仿宋_GB2312"/>
          <w:sz w:val="32"/>
          <w:szCs w:val="21"/>
        </w:rPr>
        <w:t>年退休人员退休时基本养老金以20</w:t>
      </w:r>
      <w:r>
        <w:rPr>
          <w:rFonts w:ascii="仿宋_GB2312" w:eastAsia="仿宋_GB2312"/>
          <w:sz w:val="32"/>
          <w:szCs w:val="21"/>
        </w:rPr>
        <w:t>20</w:t>
      </w:r>
      <w:r>
        <w:rPr>
          <w:rFonts w:hint="eastAsia" w:ascii="仿宋_GB2312" w:eastAsia="仿宋_GB2312"/>
          <w:sz w:val="32"/>
          <w:szCs w:val="21"/>
        </w:rPr>
        <w:t>年职工平均工资为计发基数</w:t>
      </w:r>
      <w:r>
        <w:rPr>
          <w:rFonts w:ascii="仿宋_GB2312" w:eastAsia="仿宋_GB2312"/>
          <w:sz w:val="32"/>
          <w:szCs w:val="21"/>
        </w:rPr>
        <w:t>。</w:t>
      </w:r>
      <w:r>
        <w:rPr>
          <w:rFonts w:hint="eastAsia" w:ascii="仿宋_GB2312" w:eastAsia="仿宋_GB2312"/>
          <w:sz w:val="32"/>
          <w:szCs w:val="21"/>
        </w:rPr>
        <w:t>在调整基本养老金时，将范围确定为上年底退休人员，避免当年退休人员既享受上年工资增长，又享受当年待遇调整的情况，以体现公平。这也是在历次调整基本养老金时的一贯做法。</w:t>
      </w:r>
    </w:p>
    <w:p>
      <w:pPr>
        <w:spacing w:line="580" w:lineRule="exact"/>
        <w:ind w:firstLine="640" w:firstLineChars="200"/>
        <w:rPr>
          <w:rFonts w:ascii="黑体" w:hAnsi="黑体" w:eastAsia="黑体" w:cs="黑体"/>
          <w:sz w:val="32"/>
        </w:rPr>
      </w:pPr>
      <w:r>
        <w:rPr>
          <w:rFonts w:hint="eastAsia" w:ascii="黑体" w:hAnsi="黑体" w:eastAsia="黑体" w:cs="黑体"/>
          <w:sz w:val="32"/>
        </w:rPr>
        <w:t>四、</w:t>
      </w:r>
      <w:r>
        <w:rPr>
          <w:rFonts w:ascii="黑体" w:hAnsi="黑体" w:eastAsia="黑体" w:cs="黑体"/>
          <w:sz w:val="32"/>
        </w:rPr>
        <w:t>今年的调整办法和20</w:t>
      </w:r>
      <w:r>
        <w:rPr>
          <w:rFonts w:hint="eastAsia" w:ascii="黑体" w:hAnsi="黑体" w:eastAsia="黑体" w:cs="黑体"/>
          <w:sz w:val="32"/>
        </w:rPr>
        <w:t>21</w:t>
      </w:r>
      <w:r>
        <w:rPr>
          <w:rFonts w:ascii="黑体" w:hAnsi="黑体" w:eastAsia="黑体" w:cs="黑体"/>
          <w:sz w:val="32"/>
        </w:rPr>
        <w:t xml:space="preserve">年一样吗？企业和机关事业单位统一办法的进度如何？ </w:t>
      </w:r>
    </w:p>
    <w:p>
      <w:pPr>
        <w:spacing w:line="580" w:lineRule="exact"/>
        <w:ind w:firstLine="640" w:firstLineChars="200"/>
        <w:rPr>
          <w:rFonts w:ascii="仿宋_GB2312" w:eastAsia="仿宋_GB2312"/>
          <w:sz w:val="32"/>
          <w:szCs w:val="21"/>
        </w:rPr>
      </w:pPr>
      <w:r>
        <w:rPr>
          <w:rFonts w:hint="eastAsia" w:ascii="仿宋_GB2312" w:eastAsia="仿宋_GB2312"/>
          <w:sz w:val="32"/>
          <w:szCs w:val="21"/>
        </w:rPr>
        <w:t>今年调整与2016-</w:t>
      </w:r>
      <w:r>
        <w:rPr>
          <w:rFonts w:ascii="仿宋_GB2312" w:eastAsia="仿宋_GB2312"/>
          <w:sz w:val="32"/>
          <w:szCs w:val="21"/>
        </w:rPr>
        <w:t>2021</w:t>
      </w:r>
      <w:r>
        <w:rPr>
          <w:rFonts w:hint="eastAsia" w:ascii="仿宋_GB2312" w:eastAsia="仿宋_GB2312"/>
          <w:sz w:val="32"/>
          <w:szCs w:val="21"/>
        </w:rPr>
        <w:t>年调整办法相同，企业和机关事业单位</w:t>
      </w:r>
      <w:r>
        <w:rPr>
          <w:rFonts w:ascii="仿宋_GB2312" w:eastAsia="仿宋_GB2312"/>
          <w:sz w:val="32"/>
          <w:szCs w:val="21"/>
        </w:rPr>
        <w:t>调整办法统一，且都采用</w:t>
      </w:r>
      <w:r>
        <w:rPr>
          <w:rFonts w:hint="eastAsia" w:ascii="仿宋_GB2312" w:eastAsia="仿宋_GB2312"/>
          <w:sz w:val="32"/>
          <w:szCs w:val="21"/>
        </w:rPr>
        <w:t>“定额调整、挂钩调整与适当倾斜相结合”</w:t>
      </w:r>
      <w:r>
        <w:rPr>
          <w:rFonts w:ascii="仿宋_GB2312" w:eastAsia="仿宋_GB2312"/>
          <w:sz w:val="32"/>
          <w:szCs w:val="21"/>
        </w:rPr>
        <w:t>的</w:t>
      </w:r>
      <w:r>
        <w:rPr>
          <w:rFonts w:hint="eastAsia" w:ascii="仿宋_GB2312" w:eastAsia="仿宋_GB2312"/>
          <w:sz w:val="32"/>
          <w:szCs w:val="21"/>
        </w:rPr>
        <w:t>调整办法。其中，定额调整指同一地区各类退休人员统一增加相同额度的养老金，体现社会公平；挂钩调整指增加的养老金与个人缴费年限、养老金水平双挂钩，体现</w:t>
      </w:r>
      <w:r>
        <w:rPr>
          <w:rFonts w:ascii="仿宋_GB2312" w:eastAsia="仿宋_GB2312"/>
          <w:sz w:val="32"/>
          <w:szCs w:val="21"/>
        </w:rPr>
        <w:t>基本养老保险</w:t>
      </w:r>
      <w:r>
        <w:rPr>
          <w:rFonts w:hint="eastAsia" w:ascii="仿宋_GB2312" w:eastAsia="仿宋_GB2312"/>
          <w:sz w:val="32"/>
          <w:szCs w:val="21"/>
        </w:rPr>
        <w:t>多缴多得、</w:t>
      </w:r>
      <w:r>
        <w:rPr>
          <w:rFonts w:ascii="仿宋_GB2312" w:eastAsia="仿宋_GB2312"/>
          <w:sz w:val="32"/>
          <w:szCs w:val="21"/>
        </w:rPr>
        <w:t>长缴多得、多得多调</w:t>
      </w:r>
      <w:r>
        <w:rPr>
          <w:rFonts w:hint="eastAsia" w:ascii="仿宋_GB2312" w:eastAsia="仿宋_GB2312"/>
          <w:sz w:val="32"/>
          <w:szCs w:val="21"/>
        </w:rPr>
        <w:t>的激励</w:t>
      </w:r>
      <w:r>
        <w:rPr>
          <w:rFonts w:ascii="仿宋_GB2312" w:eastAsia="仿宋_GB2312"/>
          <w:sz w:val="32"/>
          <w:szCs w:val="21"/>
        </w:rPr>
        <w:t>约束</w:t>
      </w:r>
      <w:r>
        <w:rPr>
          <w:rFonts w:hint="eastAsia" w:ascii="仿宋_GB2312" w:eastAsia="仿宋_GB2312"/>
          <w:sz w:val="32"/>
          <w:szCs w:val="21"/>
        </w:rPr>
        <w:t>机制，使在职时多缴费、长缴费的</w:t>
      </w:r>
      <w:r>
        <w:rPr>
          <w:rFonts w:ascii="仿宋_GB2312" w:eastAsia="仿宋_GB2312"/>
          <w:sz w:val="32"/>
          <w:szCs w:val="21"/>
        </w:rPr>
        <w:t>人员，调整养老金时增加的也相对较多</w:t>
      </w:r>
      <w:r>
        <w:rPr>
          <w:rFonts w:hint="eastAsia" w:ascii="仿宋_GB2312" w:eastAsia="仿宋_GB2312"/>
          <w:sz w:val="32"/>
          <w:szCs w:val="21"/>
        </w:rPr>
        <w:t>；适当倾斜体现重点关怀，主要是对高龄退休人员</w:t>
      </w:r>
      <w:r>
        <w:rPr>
          <w:rFonts w:ascii="仿宋_GB2312" w:eastAsia="仿宋_GB2312"/>
          <w:sz w:val="32"/>
          <w:szCs w:val="21"/>
        </w:rPr>
        <w:t>和艰苦边远地区</w:t>
      </w:r>
      <w:r>
        <w:rPr>
          <w:rFonts w:hint="eastAsia" w:ascii="仿宋_GB2312" w:eastAsia="仿宋_GB2312"/>
          <w:sz w:val="32"/>
          <w:szCs w:val="21"/>
        </w:rPr>
        <w:t>群体予以照顾。这一调整办法能够适当调节退休人员收入差距，体现了二次分配更加注重公平同时兼顾激励的原则。</w:t>
      </w:r>
    </w:p>
    <w:p>
      <w:pPr>
        <w:spacing w:line="580" w:lineRule="exact"/>
        <w:rPr>
          <w:rFonts w:ascii="黑体" w:hAnsi="黑体" w:eastAsia="黑体" w:cs="黑体"/>
          <w:sz w:val="32"/>
        </w:rPr>
      </w:pPr>
      <w:r>
        <w:rPr>
          <w:rFonts w:hint="eastAsia" w:ascii="黑体" w:hAnsi="黑体" w:eastAsia="黑体" w:cs="黑体"/>
          <w:sz w:val="32"/>
        </w:rPr>
        <w:t xml:space="preserve">    五、各地区的调整水平和办法是一样的吗?退休人员能增加多少钱？</w:t>
      </w:r>
    </w:p>
    <w:p>
      <w:pPr>
        <w:spacing w:line="580" w:lineRule="exact"/>
        <w:ind w:firstLine="640" w:firstLineChars="200"/>
        <w:rPr>
          <w:rFonts w:ascii="仿宋_GB2312" w:hAnsi="宋体" w:eastAsia="仿宋_GB2312"/>
          <w:color w:val="000000"/>
          <w:sz w:val="32"/>
          <w:szCs w:val="20"/>
          <w:u w:color="000000"/>
        </w:rPr>
      </w:pPr>
      <w:r>
        <w:rPr>
          <w:rFonts w:hint="eastAsia" w:ascii="仿宋_GB2312" w:hAnsi="宋体" w:eastAsia="仿宋_GB2312"/>
          <w:color w:val="000000"/>
          <w:sz w:val="32"/>
          <w:szCs w:val="20"/>
          <w:u w:color="000000"/>
        </w:rPr>
        <w:t>各</w:t>
      </w:r>
      <w:r>
        <w:rPr>
          <w:rFonts w:ascii="仿宋_GB2312" w:hAnsi="宋体" w:eastAsia="仿宋_GB2312"/>
          <w:color w:val="000000"/>
          <w:sz w:val="32"/>
          <w:szCs w:val="20"/>
          <w:u w:color="000000"/>
        </w:rPr>
        <w:t>地区</w:t>
      </w:r>
      <w:r>
        <w:rPr>
          <w:rFonts w:hint="eastAsia" w:ascii="仿宋_GB2312" w:hAnsi="宋体" w:eastAsia="仿宋_GB2312"/>
          <w:color w:val="000000"/>
          <w:sz w:val="32"/>
          <w:szCs w:val="20"/>
          <w:u w:color="000000"/>
        </w:rPr>
        <w:t>的具体调整办法，需要按照国家统一要求，结合地方实际，兼顾企业与机关事业单位退休人员，合理确定“定额调整、挂钩调整、适当倾斜”各部分的具体标准。由于各地经济发展水平、退休人员基本情况等不尽一致，地区之间的具体调整办法会存在一定差异。</w:t>
      </w:r>
      <w:r>
        <w:rPr>
          <w:rFonts w:ascii="仿宋_GB2312" w:hAnsi="宋体" w:eastAsia="仿宋_GB2312"/>
          <w:b/>
          <w:color w:val="000000"/>
          <w:sz w:val="32"/>
          <w:szCs w:val="20"/>
          <w:u w:color="000000"/>
        </w:rPr>
        <w:t>一是</w:t>
      </w:r>
      <w:r>
        <w:rPr>
          <w:rFonts w:hint="eastAsia" w:ascii="仿宋_GB2312" w:hAnsi="宋体" w:eastAsia="仿宋_GB2312"/>
          <w:color w:val="000000"/>
          <w:sz w:val="32"/>
          <w:szCs w:val="20"/>
          <w:u w:color="000000"/>
        </w:rPr>
        <w:t>具体到“4%”的调整比例，这是</w:t>
      </w:r>
      <w:r>
        <w:rPr>
          <w:rFonts w:ascii="仿宋_GB2312" w:hAnsi="宋体" w:eastAsia="仿宋_GB2312"/>
          <w:color w:val="000000"/>
          <w:sz w:val="32"/>
          <w:szCs w:val="20"/>
          <w:u w:color="000000"/>
        </w:rPr>
        <w:t>全国</w:t>
      </w:r>
      <w:r>
        <w:rPr>
          <w:rFonts w:hint="eastAsia" w:ascii="仿宋_GB2312" w:hAnsi="宋体" w:eastAsia="仿宋_GB2312"/>
          <w:color w:val="000000"/>
          <w:sz w:val="32"/>
          <w:szCs w:val="20"/>
          <w:u w:color="000000"/>
        </w:rPr>
        <w:t>企业和机关事业单位全部退休人员待遇调整的人均水平，并不是企业和机关事业单位</w:t>
      </w:r>
      <w:r>
        <w:rPr>
          <w:rFonts w:ascii="仿宋_GB2312" w:hAnsi="宋体" w:eastAsia="仿宋_GB2312"/>
          <w:color w:val="000000"/>
          <w:sz w:val="32"/>
          <w:szCs w:val="20"/>
          <w:u w:color="000000"/>
        </w:rPr>
        <w:t>每一位</w:t>
      </w:r>
      <w:r>
        <w:rPr>
          <w:rFonts w:hint="eastAsia" w:ascii="仿宋_GB2312" w:hAnsi="宋体" w:eastAsia="仿宋_GB2312"/>
          <w:color w:val="000000"/>
          <w:sz w:val="32"/>
          <w:szCs w:val="20"/>
          <w:u w:color="000000"/>
        </w:rPr>
        <w:t>退休人员</w:t>
      </w:r>
      <w:r>
        <w:rPr>
          <w:rFonts w:ascii="仿宋_GB2312" w:hAnsi="宋体" w:eastAsia="仿宋_GB2312"/>
          <w:color w:val="000000"/>
          <w:sz w:val="32"/>
          <w:szCs w:val="20"/>
          <w:u w:color="000000"/>
        </w:rPr>
        <w:t>都以</w:t>
      </w:r>
      <w:r>
        <w:rPr>
          <w:rFonts w:hint="eastAsia" w:ascii="仿宋_GB2312" w:hAnsi="宋体" w:eastAsia="仿宋_GB2312"/>
          <w:color w:val="000000"/>
          <w:sz w:val="32"/>
          <w:szCs w:val="20"/>
          <w:u w:color="000000"/>
        </w:rPr>
        <w:t>各自</w:t>
      </w:r>
      <w:r>
        <w:rPr>
          <w:rFonts w:ascii="仿宋_GB2312" w:hAnsi="宋体" w:eastAsia="仿宋_GB2312"/>
          <w:color w:val="000000"/>
          <w:sz w:val="32"/>
          <w:szCs w:val="20"/>
          <w:u w:color="000000"/>
        </w:rPr>
        <w:t>的基本</w:t>
      </w:r>
      <w:r>
        <w:rPr>
          <w:rFonts w:hint="eastAsia" w:ascii="仿宋_GB2312" w:hAnsi="宋体" w:eastAsia="仿宋_GB2312"/>
          <w:color w:val="000000"/>
          <w:sz w:val="32"/>
          <w:szCs w:val="20"/>
          <w:u w:color="000000"/>
        </w:rPr>
        <w:t>养老金水平为基数、都按照4%的比例</w:t>
      </w:r>
      <w:r>
        <w:rPr>
          <w:rFonts w:ascii="仿宋_GB2312" w:hAnsi="宋体" w:eastAsia="仿宋_GB2312"/>
          <w:color w:val="000000"/>
          <w:sz w:val="32"/>
          <w:szCs w:val="20"/>
          <w:u w:color="000000"/>
        </w:rPr>
        <w:t>直接</w:t>
      </w:r>
      <w:r>
        <w:rPr>
          <w:rFonts w:hint="eastAsia" w:ascii="仿宋_GB2312" w:hAnsi="宋体" w:eastAsia="仿宋_GB2312"/>
          <w:color w:val="000000"/>
          <w:sz w:val="32"/>
          <w:szCs w:val="20"/>
          <w:u w:color="000000"/>
        </w:rPr>
        <w:t>调整。</w:t>
      </w:r>
      <w:r>
        <w:rPr>
          <w:rFonts w:ascii="仿宋_GB2312" w:hAnsi="宋体" w:eastAsia="仿宋_GB2312"/>
          <w:b/>
          <w:color w:val="000000"/>
          <w:sz w:val="32"/>
          <w:szCs w:val="20"/>
          <w:u w:color="000000"/>
        </w:rPr>
        <w:t>二是</w:t>
      </w:r>
      <w:r>
        <w:rPr>
          <w:rFonts w:hint="eastAsia" w:ascii="仿宋_GB2312" w:hAnsi="宋体" w:eastAsia="仿宋_GB2312"/>
          <w:color w:val="000000"/>
          <w:sz w:val="32"/>
          <w:szCs w:val="20"/>
          <w:u w:color="000000"/>
        </w:rPr>
        <w:t>具体到每一位退休人员，由于缴费年限和养老金水平不同等原因，实际增加的养老金绝对额是不同的，对应到占个人养老金的比例也是不同的。一般来说，在职时缴费年限长、缴费工资水平较高的人员，增加的基本养老金绝对额也会相对较</w:t>
      </w:r>
      <w:r>
        <w:rPr>
          <w:rFonts w:ascii="仿宋_GB2312" w:hAnsi="宋体" w:eastAsia="仿宋_GB2312"/>
          <w:color w:val="000000"/>
          <w:sz w:val="32"/>
          <w:szCs w:val="20"/>
          <w:u w:color="000000"/>
        </w:rPr>
        <w:t>高</w:t>
      </w:r>
      <w:r>
        <w:rPr>
          <w:rFonts w:hint="eastAsia" w:ascii="仿宋_GB2312" w:hAnsi="宋体" w:eastAsia="仿宋_GB2312"/>
          <w:color w:val="000000"/>
          <w:sz w:val="32"/>
          <w:szCs w:val="20"/>
          <w:u w:color="000000"/>
        </w:rPr>
        <w:t>。</w:t>
      </w:r>
    </w:p>
    <w:p>
      <w:pPr>
        <w:spacing w:line="580" w:lineRule="exact"/>
        <w:ind w:firstLine="640" w:firstLineChars="200"/>
        <w:rPr>
          <w:rFonts w:hint="eastAsia" w:ascii="黑体" w:hAnsi="黑体" w:eastAsia="黑体" w:cs="黑体"/>
          <w:sz w:val="32"/>
        </w:rPr>
      </w:pPr>
      <w:r>
        <w:rPr>
          <w:rFonts w:hint="eastAsia" w:ascii="黑体" w:hAnsi="黑体" w:eastAsia="黑体" w:cs="黑体"/>
          <w:sz w:val="32"/>
        </w:rPr>
        <w:t>六、为什么各个地区调整标准不同？</w:t>
      </w:r>
    </w:p>
    <w:p>
      <w:pPr>
        <w:spacing w:line="580" w:lineRule="exact"/>
        <w:ind w:firstLine="640" w:firstLineChars="200"/>
        <w:rPr>
          <w:rFonts w:ascii="仿宋_GB2312" w:hAnsi="宋体" w:eastAsia="仿宋_GB2312"/>
          <w:color w:val="000000"/>
          <w:sz w:val="32"/>
          <w:szCs w:val="20"/>
          <w:u w:color="000000"/>
        </w:rPr>
      </w:pPr>
      <w:r>
        <w:rPr>
          <w:rFonts w:ascii="仿宋_GB2312" w:hAnsi="宋体" w:eastAsia="仿宋_GB2312"/>
          <w:color w:val="000000"/>
          <w:sz w:val="32"/>
          <w:szCs w:val="20"/>
          <w:u w:color="000000"/>
        </w:rPr>
        <w:t>国家调整养老金的政策规定，</w:t>
      </w:r>
      <w:r>
        <w:rPr>
          <w:rFonts w:hint="eastAsia" w:ascii="仿宋_GB2312" w:hAnsi="宋体" w:eastAsia="仿宋_GB2312"/>
          <w:color w:val="000000"/>
          <w:sz w:val="32"/>
          <w:szCs w:val="20"/>
          <w:u w:color="000000"/>
        </w:rPr>
        <w:t>退休人员养老金按照上年度全国人均养老金水平的一定比例进行调整，各省以全国调整比例为高限确定本省的调整比例和调整水平。实际操作中，各</w:t>
      </w:r>
      <w:r>
        <w:rPr>
          <w:rFonts w:ascii="仿宋_GB2312" w:hAnsi="宋体" w:eastAsia="仿宋_GB2312"/>
          <w:color w:val="000000"/>
          <w:sz w:val="32"/>
          <w:szCs w:val="20"/>
          <w:u w:color="000000"/>
        </w:rPr>
        <w:t>地区</w:t>
      </w:r>
      <w:r>
        <w:rPr>
          <w:rFonts w:hint="eastAsia" w:ascii="仿宋_GB2312" w:hAnsi="宋体" w:eastAsia="仿宋_GB2312"/>
          <w:color w:val="000000"/>
          <w:sz w:val="32"/>
          <w:szCs w:val="20"/>
          <w:u w:color="000000"/>
        </w:rPr>
        <w:t>以本</w:t>
      </w:r>
      <w:r>
        <w:rPr>
          <w:rFonts w:ascii="仿宋_GB2312" w:hAnsi="宋体" w:eastAsia="仿宋_GB2312"/>
          <w:color w:val="000000"/>
          <w:sz w:val="32"/>
          <w:szCs w:val="20"/>
          <w:u w:color="000000"/>
        </w:rPr>
        <w:t>地区</w:t>
      </w:r>
      <w:r>
        <w:rPr>
          <w:rFonts w:hint="eastAsia" w:ascii="仿宋_GB2312" w:hAnsi="宋体" w:eastAsia="仿宋_GB2312"/>
          <w:color w:val="000000"/>
          <w:sz w:val="32"/>
          <w:szCs w:val="20"/>
          <w:u w:color="000000"/>
        </w:rPr>
        <w:t>上年度职工平均养老金为水平基数，按照国家统一</w:t>
      </w:r>
      <w:r>
        <w:rPr>
          <w:rFonts w:ascii="仿宋_GB2312" w:hAnsi="宋体" w:eastAsia="仿宋_GB2312"/>
          <w:color w:val="000000"/>
          <w:sz w:val="32"/>
          <w:szCs w:val="20"/>
          <w:u w:color="000000"/>
        </w:rPr>
        <w:t>比例</w:t>
      </w:r>
      <w:r>
        <w:rPr>
          <w:rFonts w:hint="eastAsia" w:ascii="仿宋_GB2312" w:hAnsi="宋体" w:eastAsia="仿宋_GB2312"/>
          <w:color w:val="000000"/>
          <w:sz w:val="32"/>
          <w:szCs w:val="20"/>
          <w:u w:color="000000"/>
        </w:rPr>
        <w:t>确定本</w:t>
      </w:r>
      <w:r>
        <w:rPr>
          <w:rFonts w:ascii="仿宋_GB2312" w:hAnsi="宋体" w:eastAsia="仿宋_GB2312"/>
          <w:color w:val="000000"/>
          <w:sz w:val="32"/>
          <w:szCs w:val="20"/>
          <w:u w:color="000000"/>
        </w:rPr>
        <w:t>地区</w:t>
      </w:r>
      <w:r>
        <w:rPr>
          <w:rFonts w:hint="eastAsia" w:ascii="仿宋_GB2312" w:hAnsi="宋体" w:eastAsia="仿宋_GB2312"/>
          <w:color w:val="000000"/>
          <w:sz w:val="32"/>
          <w:szCs w:val="20"/>
          <w:u w:color="000000"/>
        </w:rPr>
        <w:t>调整比例和水平。具体到调整绝对额，在比例相同的情况下，人均</w:t>
      </w:r>
      <w:r>
        <w:rPr>
          <w:rFonts w:ascii="仿宋_GB2312" w:hAnsi="宋体" w:eastAsia="仿宋_GB2312"/>
          <w:color w:val="000000"/>
          <w:sz w:val="32"/>
          <w:szCs w:val="20"/>
          <w:u w:color="000000"/>
        </w:rPr>
        <w:t>基本</w:t>
      </w:r>
      <w:r>
        <w:rPr>
          <w:rFonts w:hint="eastAsia" w:ascii="仿宋_GB2312" w:hAnsi="宋体" w:eastAsia="仿宋_GB2312"/>
          <w:color w:val="000000"/>
          <w:sz w:val="32"/>
          <w:szCs w:val="20"/>
          <w:u w:color="000000"/>
        </w:rPr>
        <w:t>养老金水平较高的省份，人均调整增加绝对额相对较</w:t>
      </w:r>
      <w:r>
        <w:rPr>
          <w:rFonts w:ascii="仿宋_GB2312" w:hAnsi="宋体" w:eastAsia="仿宋_GB2312"/>
          <w:color w:val="000000"/>
          <w:sz w:val="32"/>
          <w:szCs w:val="20"/>
          <w:u w:color="000000"/>
        </w:rPr>
        <w:t>高</w:t>
      </w:r>
      <w:r>
        <w:rPr>
          <w:rFonts w:hint="eastAsia" w:ascii="仿宋_GB2312" w:hAnsi="宋体" w:eastAsia="仿宋_GB2312"/>
          <w:color w:val="000000"/>
          <w:sz w:val="32"/>
          <w:szCs w:val="20"/>
          <w:u w:color="000000"/>
        </w:rPr>
        <w:t>。既体现了基本养老保险制度激励约束机制，也体现了基本养老金保障基本生活的定位。</w:t>
      </w:r>
    </w:p>
    <w:p>
      <w:pPr>
        <w:spacing w:line="580" w:lineRule="exact"/>
        <w:ind w:firstLine="640" w:firstLineChars="200"/>
        <w:rPr>
          <w:rFonts w:ascii="黑体" w:hAnsi="仿宋" w:eastAsia="黑体"/>
          <w:color w:val="000000"/>
          <w:sz w:val="32"/>
          <w:szCs w:val="32"/>
        </w:rPr>
      </w:pPr>
      <w:r>
        <w:rPr>
          <w:rFonts w:hint="eastAsia" w:ascii="黑体" w:hAnsi="黑体" w:eastAsia="黑体" w:cs="黑体"/>
          <w:sz w:val="32"/>
        </w:rPr>
        <w:t>七、今年调整养老金工作的总体安排是什么？退休人员何时能拿到增加的养老金?</w:t>
      </w:r>
    </w:p>
    <w:p>
      <w:pPr>
        <w:spacing w:line="580" w:lineRule="exact"/>
        <w:ind w:firstLine="640" w:firstLineChars="200"/>
        <w:rPr>
          <w:rFonts w:ascii="仿宋_GB2312" w:hAnsi="宋体" w:eastAsia="仿宋_GB2312"/>
          <w:color w:val="000000"/>
          <w:sz w:val="32"/>
          <w:szCs w:val="20"/>
          <w:u w:color="000000"/>
        </w:rPr>
      </w:pPr>
      <w:r>
        <w:rPr>
          <w:rFonts w:hint="eastAsia" w:ascii="仿宋_GB2312" w:hAnsi="宋体" w:eastAsia="仿宋_GB2312"/>
          <w:color w:val="000000"/>
          <w:sz w:val="32"/>
          <w:szCs w:val="20"/>
          <w:u w:color="000000"/>
        </w:rPr>
        <w:t>人力资源社会保障部、财政部已下发通知对此次调整养老金工作作了安排，总的要求是平稳实施，确保发放。</w:t>
      </w:r>
      <w:r>
        <w:rPr>
          <w:rFonts w:ascii="仿宋_GB2312" w:hAnsi="宋体" w:eastAsia="仿宋_GB2312"/>
          <w:color w:val="000000"/>
          <w:sz w:val="32"/>
          <w:szCs w:val="20"/>
          <w:u w:color="000000"/>
        </w:rPr>
        <w:t>国务院常务会议明确，今年提高标准增发的退休人员基本养老金7月底前要发放到位。</w:t>
      </w:r>
      <w:r>
        <w:rPr>
          <w:rFonts w:hint="eastAsia" w:ascii="仿宋_GB2312" w:hAnsi="宋体" w:eastAsia="仿宋_GB2312"/>
          <w:color w:val="000000"/>
          <w:sz w:val="32"/>
          <w:szCs w:val="20"/>
          <w:u w:color="000000"/>
        </w:rPr>
        <w:t>我区已印发《关于2022年调整退休人员基本养老金的通知》，尽快将增加的养老金发放到退休人员手中。各地发放到位时间可能不尽相同，但对退休人员而言，无论各地在何时开始组织发放，都将从</w:t>
      </w:r>
      <w:r>
        <w:rPr>
          <w:rFonts w:ascii="仿宋_GB2312" w:hAnsi="宋体" w:eastAsia="仿宋_GB2312"/>
          <w:color w:val="000000"/>
          <w:sz w:val="32"/>
          <w:szCs w:val="20"/>
          <w:u w:color="000000"/>
        </w:rPr>
        <w:t>2021</w:t>
      </w:r>
      <w:r>
        <w:rPr>
          <w:rFonts w:hint="eastAsia" w:ascii="仿宋_GB2312" w:hAnsi="宋体" w:eastAsia="仿宋_GB2312"/>
          <w:color w:val="000000"/>
          <w:sz w:val="32"/>
          <w:szCs w:val="20"/>
          <w:u w:color="000000"/>
        </w:rPr>
        <w:t>年1月1日起补发。</w:t>
      </w:r>
    </w:p>
    <w:p>
      <w:pPr>
        <w:spacing w:line="600" w:lineRule="exact"/>
        <w:ind w:firstLine="640" w:firstLineChars="200"/>
        <w:rPr>
          <w:rFonts w:ascii="黑体" w:hAnsi="黑体" w:eastAsia="黑体" w:cs="黑体"/>
          <w:color w:val="000000"/>
          <w:sz w:val="32"/>
          <w:szCs w:val="20"/>
          <w:u w:color="000000"/>
        </w:rPr>
      </w:pPr>
      <w:r>
        <w:rPr>
          <w:rFonts w:hint="eastAsia" w:ascii="黑体" w:hAnsi="黑体" w:eastAsia="黑体" w:cs="黑体"/>
          <w:color w:val="000000"/>
          <w:sz w:val="32"/>
          <w:szCs w:val="20"/>
          <w:u w:color="000000"/>
        </w:rPr>
        <w:t>八、2022年实施了阶段性缓缴养老保险费政策，减少了基金收入，对养老金发放工作有没有影响？</w:t>
      </w:r>
    </w:p>
    <w:p>
      <w:pPr>
        <w:spacing w:line="58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2022年开始启动实施了企业职工基本养老保险全国统筹制度，建立了全国统筹调剂资金，在全国范围内对地区间养老保险基金当期余缺进行调剂，用于确保养老金按时足额发放，确保发放有了更加有力的制度安排。全国统筹制度实施后，养老保险基金使用效率更高，对基金困难地区的支持力度更大，在制度上解决了基金的结构性矛盾问题，困难地区的养老金发放更有保障</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2022年二季度以来，疫情形势严峻复杂，经济下行压力较大，国家出台实施了阶段性缓缴社保费等援企政策，基金当期收入减少，部分省份的支付压力明显增大。缓缴政策出台是经过审慎测算的，实施缓缴政策后能够确保养老金按时足额发放。</w:t>
      </w:r>
    </w:p>
    <w:p>
      <w:pPr>
        <w:spacing w:line="580" w:lineRule="exact"/>
        <w:ind w:firstLine="643" w:firstLineChars="200"/>
        <w:rPr>
          <w:rFonts w:ascii="仿宋_GB2312" w:hAnsi="楷体_GB2312" w:eastAsia="仿宋_GB2312" w:cs="楷体_GB2312"/>
          <w:sz w:val="32"/>
          <w:szCs w:val="32"/>
        </w:rPr>
      </w:pPr>
      <w:r>
        <w:rPr>
          <w:rFonts w:ascii="仿宋_GB2312" w:hAnsi="楷体_GB2312" w:eastAsia="仿宋_GB2312" w:cs="楷体_GB2312"/>
          <w:b/>
          <w:sz w:val="32"/>
          <w:szCs w:val="32"/>
        </w:rPr>
        <w:t>一是</w:t>
      </w:r>
      <w:r>
        <w:rPr>
          <w:rFonts w:ascii="仿宋_GB2312" w:hAnsi="楷体_GB2312" w:eastAsia="仿宋_GB2312" w:cs="楷体_GB2312"/>
          <w:sz w:val="32"/>
          <w:szCs w:val="32"/>
        </w:rPr>
        <w:t>绝大多数省份基金支撑能力还比较强，养老金发放没有问题。截至4月底，我国企业职工基本养老保险基金累计结余超过5万亿元，仍有比较坚实的保发放基础。</w:t>
      </w:r>
      <w:r>
        <w:rPr>
          <w:rFonts w:ascii="仿宋_GB2312" w:hAnsi="楷体_GB2312" w:eastAsia="仿宋_GB2312" w:cs="楷体_GB2312"/>
          <w:b/>
          <w:sz w:val="32"/>
          <w:szCs w:val="32"/>
        </w:rPr>
        <w:t>二是</w:t>
      </w:r>
      <w:r>
        <w:rPr>
          <w:rFonts w:ascii="仿宋_GB2312" w:hAnsi="楷体_GB2312" w:eastAsia="仿宋_GB2312" w:cs="楷体_GB2312"/>
          <w:sz w:val="32"/>
          <w:szCs w:val="32"/>
        </w:rPr>
        <w:t>全国统筹调剂资金对基金困难省份支持力度更大。今年上半年，人力资源社会保障部会同财政部已完成1240亿元的资金缴拨工作，有力支持了困难省份的养老金发放。下一步，将统筹考虑疫情和缓缴政策实施效果等因素，加大对基金结余较少省份的支持力度，确保这些省份的养老金发放。</w:t>
      </w:r>
      <w:r>
        <w:rPr>
          <w:rFonts w:ascii="仿宋_GB2312" w:hAnsi="楷体_GB2312" w:eastAsia="仿宋_GB2312" w:cs="楷体_GB2312"/>
          <w:b/>
          <w:sz w:val="32"/>
          <w:szCs w:val="32"/>
        </w:rPr>
        <w:t>三是</w:t>
      </w:r>
      <w:r>
        <w:rPr>
          <w:rFonts w:ascii="仿宋_GB2312" w:hAnsi="楷体_GB2312" w:eastAsia="仿宋_GB2312" w:cs="楷体_GB2312"/>
          <w:sz w:val="32"/>
          <w:szCs w:val="32"/>
        </w:rPr>
        <w:t>中央财政补助力度不减，地方责任更加明确。全国统筹制度实施后，建立了中央和地方养老保险支出责任分担机制，中央财政对养老保险基金的补助力度持续加大，今年达到了6500亿元左右，并重点向西部地区和老工业基地倾斜。同时，地方政府支出责任进一步强化，确保基本养老金按时足额发放。</w:t>
      </w:r>
      <w:r>
        <w:rPr>
          <w:rFonts w:ascii="仿宋_GB2312" w:hAnsi="楷体_GB2312" w:eastAsia="仿宋_GB2312" w:cs="楷体_GB2312"/>
          <w:b/>
          <w:sz w:val="32"/>
          <w:szCs w:val="32"/>
        </w:rPr>
        <w:t>四是</w:t>
      </w:r>
      <w:r>
        <w:rPr>
          <w:rFonts w:ascii="仿宋_GB2312" w:hAnsi="楷体_GB2312" w:eastAsia="仿宋_GB2312" w:cs="楷体_GB2312"/>
          <w:sz w:val="32"/>
          <w:szCs w:val="32"/>
        </w:rPr>
        <w:t>长远有储备。全国社保基金有超过2万亿元的战略储备，并按照中央要求划转了部分国有资本充实社保基金，有比较强的保障能力。</w:t>
      </w:r>
    </w:p>
    <w:p>
      <w:pPr>
        <w:spacing w:line="580" w:lineRule="exact"/>
        <w:ind w:firstLine="640" w:firstLineChars="200"/>
        <w:rPr>
          <w:rFonts w:hint="eastAsia" w:ascii="黑体" w:hAnsi="黑体" w:eastAsia="黑体" w:cs="楷体_GB2312"/>
          <w:bCs/>
          <w:sz w:val="32"/>
          <w:szCs w:val="32"/>
        </w:rPr>
      </w:pPr>
      <w:r>
        <w:rPr>
          <w:rFonts w:hint="eastAsia" w:ascii="黑体" w:hAnsi="黑体" w:eastAsia="黑体" w:cs="楷体_GB2312"/>
          <w:bCs/>
          <w:sz w:val="32"/>
          <w:szCs w:val="32"/>
        </w:rPr>
        <w:t>九、我区调整养老金方案是怎样制定出来的？</w:t>
      </w:r>
    </w:p>
    <w:p>
      <w:pPr>
        <w:spacing w:line="58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今年</w:t>
      </w:r>
      <w:r>
        <w:rPr>
          <w:rFonts w:hint="default" w:ascii="仿宋_GB2312" w:hAnsi="楷体_GB2312" w:eastAsia="仿宋_GB2312" w:cs="楷体_GB2312"/>
          <w:sz w:val="32"/>
          <w:szCs w:val="32"/>
        </w:rPr>
        <w:t>5</w:t>
      </w:r>
      <w:r>
        <w:rPr>
          <w:rFonts w:hint="eastAsia" w:ascii="仿宋_GB2312" w:hAnsi="楷体_GB2312" w:eastAsia="仿宋_GB2312" w:cs="楷体_GB2312"/>
          <w:sz w:val="32"/>
          <w:szCs w:val="32"/>
        </w:rPr>
        <w:t>月</w:t>
      </w:r>
      <w:r>
        <w:rPr>
          <w:rFonts w:ascii="仿宋_GB2312" w:hAnsi="楷体_GB2312" w:eastAsia="仿宋_GB2312" w:cs="楷体_GB2312"/>
          <w:sz w:val="32"/>
          <w:szCs w:val="32"/>
        </w:rPr>
        <w:t>，</w:t>
      </w:r>
      <w:r>
        <w:rPr>
          <w:rFonts w:hint="eastAsia" w:ascii="仿宋_GB2312" w:hAnsi="楷体_GB2312" w:eastAsia="仿宋_GB2312" w:cs="楷体_GB2312"/>
          <w:sz w:val="32"/>
          <w:szCs w:val="32"/>
        </w:rPr>
        <w:t>国家文件下发后，我区对符合调整条件的企业退休人员和机关事业单位退休人员的基础数据分别进行了采集和整合，按基本养老金水平、缴费和视同缴费年限、办理退休年度、参加工作时间、年龄等指标进行了详细的分类统计和反复测算。在认真测算和征求各方面意见的基础上，制定了调整退休人员基本养老金方案，经</w:t>
      </w:r>
      <w:r>
        <w:rPr>
          <w:rFonts w:hint="default" w:ascii="仿宋_GB2312" w:hAnsi="楷体_GB2312" w:eastAsia="仿宋_GB2312" w:cs="楷体_GB2312"/>
          <w:sz w:val="32"/>
          <w:szCs w:val="32"/>
        </w:rPr>
        <w:t>人力资源社会保障</w:t>
      </w:r>
      <w:r>
        <w:rPr>
          <w:rFonts w:hint="eastAsia" w:ascii="仿宋_GB2312" w:hAnsi="楷体_GB2312" w:eastAsia="仿宋_GB2312" w:cs="楷体_GB2312"/>
          <w:sz w:val="32"/>
          <w:szCs w:val="32"/>
        </w:rPr>
        <w:t>部、财政部批复同意和自治区政府批准后，由自治区人力资源社会保障厅、财政厅联合印发了《关于2022年调整退休人员基本养老金的通知》。调整方案是在科学测算的基础上认真制定的，进一步明确了调整退休人员基本养老金的具体标准等内容，严格执行国家文件精神。</w:t>
      </w:r>
    </w:p>
    <w:p>
      <w:pPr>
        <w:spacing w:line="580" w:lineRule="exact"/>
        <w:ind w:firstLine="640" w:firstLineChars="200"/>
        <w:rPr>
          <w:rFonts w:hint="eastAsia" w:ascii="黑体" w:hAnsi="黑体" w:eastAsia="黑体" w:cs="楷体_GB2312"/>
          <w:bCs/>
          <w:sz w:val="32"/>
          <w:szCs w:val="32"/>
        </w:rPr>
      </w:pPr>
      <w:r>
        <w:rPr>
          <w:rFonts w:hint="eastAsia" w:ascii="黑体" w:hAnsi="黑体" w:eastAsia="黑体" w:cs="楷体_GB2312"/>
          <w:bCs/>
          <w:sz w:val="32"/>
          <w:szCs w:val="32"/>
        </w:rPr>
        <w:t>十、2022年我区调整基本养老金的人员范围和时间是如何规定的？</w:t>
      </w:r>
    </w:p>
    <w:p>
      <w:pPr>
        <w:spacing w:line="580" w:lineRule="exact"/>
        <w:ind w:firstLine="640"/>
        <w:rPr>
          <w:rFonts w:hint="eastAsia" w:ascii="黑体" w:hAnsi="黑体" w:eastAsia="黑体" w:cs="楷体_GB2312"/>
          <w:b/>
          <w:bCs/>
          <w:sz w:val="32"/>
          <w:szCs w:val="32"/>
        </w:rPr>
      </w:pPr>
      <w:r>
        <w:rPr>
          <w:rFonts w:hint="eastAsia" w:ascii="仿宋_GB2312" w:hAnsi="楷体_GB2312" w:eastAsia="仿宋_GB2312" w:cs="楷体_GB2312"/>
          <w:sz w:val="32"/>
          <w:szCs w:val="32"/>
        </w:rPr>
        <w:t>严格执行国家文件规定，从2022年1月1日起，为2021年12月31日前已按规定办理退休手续并按月领取基本养老金的退休人员提高基本养老金水平。</w:t>
      </w:r>
    </w:p>
    <w:p>
      <w:pPr>
        <w:spacing w:line="580" w:lineRule="exact"/>
        <w:ind w:firstLine="640"/>
        <w:rPr>
          <w:rFonts w:hint="eastAsia" w:ascii="黑体" w:hAnsi="黑体" w:eastAsia="黑体" w:cs="楷体_GB2312"/>
          <w:bCs/>
          <w:sz w:val="32"/>
          <w:szCs w:val="32"/>
        </w:rPr>
      </w:pPr>
      <w:r>
        <w:rPr>
          <w:rFonts w:hint="eastAsia" w:ascii="黑体" w:hAnsi="黑体" w:eastAsia="黑体" w:cs="楷体_GB2312"/>
          <w:bCs/>
          <w:sz w:val="32"/>
          <w:szCs w:val="32"/>
        </w:rPr>
        <w:t>十一、我区在2022年调整时，如何进行定额调整？</w:t>
      </w:r>
    </w:p>
    <w:p>
      <w:pPr>
        <w:spacing w:line="58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在2022年基本养老金调整中，对参加本次调整的企业和机关事业单位退休人员每人每月增加6</w:t>
      </w:r>
      <w:r>
        <w:rPr>
          <w:rFonts w:ascii="仿宋_GB2312" w:hAnsi="楷体_GB2312" w:eastAsia="仿宋_GB2312" w:cs="楷体_GB2312"/>
          <w:sz w:val="32"/>
          <w:szCs w:val="32"/>
        </w:rPr>
        <w:t>0</w:t>
      </w:r>
      <w:r>
        <w:rPr>
          <w:rFonts w:hint="eastAsia" w:ascii="仿宋_GB2312" w:hAnsi="楷体_GB2312" w:eastAsia="仿宋_GB2312" w:cs="楷体_GB2312"/>
          <w:sz w:val="32"/>
          <w:szCs w:val="32"/>
        </w:rPr>
        <w:t>元，企业和机关事业单位实行统一的定额调整标准，重点体现社会公平，让每个符合条件的退休人员都能共同分享经济社会发展成果。</w:t>
      </w:r>
    </w:p>
    <w:p>
      <w:pPr>
        <w:spacing w:line="580" w:lineRule="exact"/>
        <w:ind w:firstLine="640" w:firstLineChars="200"/>
        <w:rPr>
          <w:rFonts w:hint="eastAsia" w:ascii="仿宋_GB2312" w:hAnsi="楷体_GB2312" w:eastAsia="仿宋_GB2312" w:cs="楷体_GB2312"/>
          <w:sz w:val="32"/>
          <w:szCs w:val="32"/>
        </w:rPr>
      </w:pPr>
      <w:r>
        <w:rPr>
          <w:rFonts w:hint="eastAsia" w:ascii="黑体" w:hAnsi="黑体" w:eastAsia="黑体" w:cs="楷体_GB2312"/>
          <w:bCs/>
          <w:sz w:val="32"/>
          <w:szCs w:val="32"/>
        </w:rPr>
        <w:t>十二、我区在2022年调整时，如何进行挂钩调整?</w:t>
      </w:r>
    </w:p>
    <w:p>
      <w:pPr>
        <w:spacing w:line="58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按照国家要求，企业和机关事业单位挂钩办法必须保持完全一致。在挂钩调整中，企业和机关事业单位退休人员均实行与个人的缴费年限和养老金水平“双挂钩”。具体的挂钩方法是：</w:t>
      </w:r>
      <w:r>
        <w:rPr>
          <w:rFonts w:hint="eastAsia" w:ascii="仿宋_GB2312" w:hAnsi="宋体" w:eastAsia="仿宋_GB2312"/>
          <w:b/>
          <w:sz w:val="32"/>
          <w:szCs w:val="32"/>
        </w:rPr>
        <w:t>一是</w:t>
      </w:r>
      <w:r>
        <w:rPr>
          <w:rFonts w:hint="eastAsia" w:ascii="仿宋_GB2312" w:hAnsi="宋体" w:eastAsia="仿宋_GB2312"/>
          <w:sz w:val="32"/>
          <w:szCs w:val="32"/>
        </w:rPr>
        <w:t>与本人缴费年限挂钩，缴费年限在15年以内的（含15年），每月统一调整15元，缴费年限在15年以上的（不满1年按1年计算），自第16年起，每满1年每月再增加2元。</w:t>
      </w:r>
      <w:r>
        <w:rPr>
          <w:rFonts w:hint="eastAsia" w:ascii="仿宋_GB2312" w:hAnsi="宋体" w:eastAsia="仿宋_GB2312"/>
          <w:b/>
          <w:sz w:val="32"/>
          <w:szCs w:val="32"/>
        </w:rPr>
        <w:t>二是</w:t>
      </w:r>
      <w:r>
        <w:rPr>
          <w:rFonts w:hint="eastAsia" w:ascii="仿宋_GB2312" w:hAnsi="宋体" w:eastAsia="仿宋_GB2312"/>
          <w:sz w:val="32"/>
          <w:szCs w:val="32"/>
        </w:rPr>
        <w:t>与本人养老金水平挂钩,按本人2021年12月基本养老金的1%调整，调整不足20元的统一按20元调整。</w:t>
      </w:r>
    </w:p>
    <w:p>
      <w:pPr>
        <w:spacing w:line="540" w:lineRule="exact"/>
        <w:ind w:firstLine="640" w:firstLineChars="200"/>
        <w:jc w:val="left"/>
        <w:rPr>
          <w:rFonts w:hint="eastAsia" w:ascii="黑体" w:hAnsi="黑体" w:eastAsia="黑体" w:cs="楷体_GB2312"/>
          <w:bCs/>
          <w:sz w:val="32"/>
          <w:szCs w:val="32"/>
        </w:rPr>
      </w:pPr>
      <w:r>
        <w:rPr>
          <w:rFonts w:hint="eastAsia" w:ascii="黑体" w:hAnsi="黑体" w:eastAsia="黑体" w:cs="楷体_GB2312"/>
          <w:bCs/>
          <w:sz w:val="32"/>
          <w:szCs w:val="32"/>
        </w:rPr>
        <w:t>十三、我区在2022年调整中，如何体现适度倾斜？</w:t>
      </w:r>
    </w:p>
    <w:p>
      <w:pPr>
        <w:spacing w:line="560" w:lineRule="exact"/>
        <w:ind w:firstLine="640" w:firstLineChars="200"/>
        <w:rPr>
          <w:rFonts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按照国家调整退休人员基本养老金有关规定，我区在2022年基本养老金调整中，退休人员在定额和挂钩调整的基础上，对高龄人员、艰苦边远地区退休人员、企业退休军转干部又进行了适当倾斜调整。其倾斜标准为：</w:t>
      </w:r>
      <w:r>
        <w:rPr>
          <w:rFonts w:hint="eastAsia" w:ascii="仿宋_GB2312" w:hAnsi="楷体_GB2312" w:eastAsia="仿宋_GB2312" w:cs="楷体_GB2312"/>
          <w:b/>
          <w:color w:val="000000"/>
          <w:sz w:val="32"/>
          <w:szCs w:val="32"/>
        </w:rPr>
        <w:t>一是</w:t>
      </w:r>
      <w:r>
        <w:rPr>
          <w:rFonts w:hint="eastAsia" w:ascii="仿宋_GB2312" w:hAnsi="楷体_GB2312" w:eastAsia="仿宋_GB2312" w:cs="楷体_GB2312"/>
          <w:color w:val="000000"/>
          <w:sz w:val="32"/>
          <w:szCs w:val="32"/>
        </w:rPr>
        <w:t>高龄人员在定额和挂钩调整的基础上，再对年满70周岁以上人员适当倾斜，即：年满70周岁不满75周岁的每人每月再增加基本养老金10元，年满75周岁不满80周岁的每人每月再增加基本养老金15元，年满80周岁以上的每人每月再增加基本养老金20元；</w:t>
      </w:r>
      <w:r>
        <w:rPr>
          <w:rFonts w:hint="eastAsia" w:ascii="仿宋_GB2312" w:hAnsi="楷体_GB2312" w:eastAsia="仿宋_GB2312" w:cs="楷体_GB2312"/>
          <w:b/>
          <w:color w:val="000000"/>
          <w:sz w:val="32"/>
          <w:szCs w:val="32"/>
        </w:rPr>
        <w:t>二是</w:t>
      </w:r>
      <w:r>
        <w:rPr>
          <w:rFonts w:hint="eastAsia" w:ascii="仿宋_GB2312" w:hAnsi="楷体_GB2312" w:eastAsia="仿宋_GB2312" w:cs="楷体_GB2312"/>
          <w:color w:val="000000"/>
          <w:sz w:val="32"/>
          <w:szCs w:val="32"/>
        </w:rPr>
        <w:t>在定额和挂钩调整的基础上，对艰苦边远一类区的每人每月再增加基本养老金10元，对艰苦边远三类区的每人每月再增加基本养老金15元；</w:t>
      </w:r>
      <w:r>
        <w:rPr>
          <w:rFonts w:hint="eastAsia" w:ascii="仿宋_GB2312" w:hAnsi="楷体_GB2312" w:eastAsia="仿宋_GB2312" w:cs="楷体_GB2312"/>
          <w:b/>
          <w:color w:val="000000"/>
          <w:sz w:val="32"/>
          <w:szCs w:val="32"/>
        </w:rPr>
        <w:t>三是</w:t>
      </w:r>
      <w:r>
        <w:rPr>
          <w:rFonts w:hint="eastAsia" w:ascii="仿宋_GB2312" w:hAnsi="楷体_GB2312" w:eastAsia="仿宋_GB2312" w:cs="楷体_GB2312"/>
          <w:color w:val="000000"/>
          <w:sz w:val="32"/>
          <w:szCs w:val="32"/>
        </w:rPr>
        <w:t>企业军转干部低于4572元的调整到4572元。</w:t>
      </w:r>
    </w:p>
    <w:p>
      <w:pPr>
        <w:spacing w:line="580" w:lineRule="exact"/>
        <w:ind w:firstLine="640" w:firstLineChars="200"/>
        <w:jc w:val="left"/>
        <w:rPr>
          <w:rFonts w:hint="eastAsia" w:ascii="仿宋_GB2312" w:eastAsia="仿宋_GB2312" w:cs="宋体"/>
          <w:sz w:val="32"/>
          <w:szCs w:val="32"/>
        </w:rPr>
      </w:pPr>
    </w:p>
    <w:sectPr>
      <w:footerReference r:id="rId5" w:type="first"/>
      <w:footerReference r:id="rId3" w:type="default"/>
      <w:footerReference r:id="rId4" w:type="even"/>
      <w:pgSz w:w="11906" w:h="16838"/>
      <w:pgMar w:top="2098" w:right="1474" w:bottom="1985" w:left="1588" w:header="851" w:footer="124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- 8 -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0.231.53.46:80/seeyon/officeservlet"/>
  </w:docVars>
  <w:rsids>
    <w:rsidRoot w:val="00172A27"/>
    <w:rsid w:val="000072A7"/>
    <w:rsid w:val="00017A9E"/>
    <w:rsid w:val="000235E1"/>
    <w:rsid w:val="00031224"/>
    <w:rsid w:val="00034843"/>
    <w:rsid w:val="00040029"/>
    <w:rsid w:val="00051066"/>
    <w:rsid w:val="000551E4"/>
    <w:rsid w:val="000648D4"/>
    <w:rsid w:val="00066279"/>
    <w:rsid w:val="00087C9E"/>
    <w:rsid w:val="00097495"/>
    <w:rsid w:val="000B0A03"/>
    <w:rsid w:val="000B31DB"/>
    <w:rsid w:val="000B6156"/>
    <w:rsid w:val="000C4B61"/>
    <w:rsid w:val="000F0CA7"/>
    <w:rsid w:val="000F3773"/>
    <w:rsid w:val="00167CB2"/>
    <w:rsid w:val="00174EEC"/>
    <w:rsid w:val="001775B4"/>
    <w:rsid w:val="0018341F"/>
    <w:rsid w:val="0019027A"/>
    <w:rsid w:val="001921B2"/>
    <w:rsid w:val="001C074F"/>
    <w:rsid w:val="001C6E34"/>
    <w:rsid w:val="001D57AD"/>
    <w:rsid w:val="001D7937"/>
    <w:rsid w:val="001E3F5E"/>
    <w:rsid w:val="00204F7F"/>
    <w:rsid w:val="00217479"/>
    <w:rsid w:val="002304BA"/>
    <w:rsid w:val="002348A8"/>
    <w:rsid w:val="0024308E"/>
    <w:rsid w:val="002445AA"/>
    <w:rsid w:val="002C4B0C"/>
    <w:rsid w:val="002C5D0A"/>
    <w:rsid w:val="002D2D87"/>
    <w:rsid w:val="002E5E02"/>
    <w:rsid w:val="002F2E36"/>
    <w:rsid w:val="00350D13"/>
    <w:rsid w:val="0035386B"/>
    <w:rsid w:val="003662AB"/>
    <w:rsid w:val="003716D6"/>
    <w:rsid w:val="00376F10"/>
    <w:rsid w:val="00397923"/>
    <w:rsid w:val="003B1EA7"/>
    <w:rsid w:val="003B7B37"/>
    <w:rsid w:val="003E2ABD"/>
    <w:rsid w:val="004040DD"/>
    <w:rsid w:val="00405B58"/>
    <w:rsid w:val="00410010"/>
    <w:rsid w:val="0041207B"/>
    <w:rsid w:val="00417FBE"/>
    <w:rsid w:val="00424391"/>
    <w:rsid w:val="00426D2A"/>
    <w:rsid w:val="004426ED"/>
    <w:rsid w:val="00444551"/>
    <w:rsid w:val="004503B3"/>
    <w:rsid w:val="0045243B"/>
    <w:rsid w:val="00456536"/>
    <w:rsid w:val="0046237D"/>
    <w:rsid w:val="004878DD"/>
    <w:rsid w:val="004A1F53"/>
    <w:rsid w:val="004B5981"/>
    <w:rsid w:val="004D6C5B"/>
    <w:rsid w:val="004F12AD"/>
    <w:rsid w:val="0051301C"/>
    <w:rsid w:val="00514854"/>
    <w:rsid w:val="00517EBE"/>
    <w:rsid w:val="00535737"/>
    <w:rsid w:val="00535CD5"/>
    <w:rsid w:val="005452EE"/>
    <w:rsid w:val="0056327E"/>
    <w:rsid w:val="00567BC4"/>
    <w:rsid w:val="00582794"/>
    <w:rsid w:val="005849A4"/>
    <w:rsid w:val="00596130"/>
    <w:rsid w:val="005A2C3F"/>
    <w:rsid w:val="005B0D30"/>
    <w:rsid w:val="005C2AC1"/>
    <w:rsid w:val="005D03D5"/>
    <w:rsid w:val="005D35BC"/>
    <w:rsid w:val="005D6E79"/>
    <w:rsid w:val="005F66D1"/>
    <w:rsid w:val="00602EDA"/>
    <w:rsid w:val="0060464F"/>
    <w:rsid w:val="006366CF"/>
    <w:rsid w:val="00645DFF"/>
    <w:rsid w:val="00652A2D"/>
    <w:rsid w:val="00675887"/>
    <w:rsid w:val="00675C14"/>
    <w:rsid w:val="006851C3"/>
    <w:rsid w:val="006907BC"/>
    <w:rsid w:val="006965BB"/>
    <w:rsid w:val="006A1DE6"/>
    <w:rsid w:val="006C6371"/>
    <w:rsid w:val="006D1F1A"/>
    <w:rsid w:val="006D69AE"/>
    <w:rsid w:val="00717C5D"/>
    <w:rsid w:val="00735DD5"/>
    <w:rsid w:val="00767E18"/>
    <w:rsid w:val="00780473"/>
    <w:rsid w:val="00794DC4"/>
    <w:rsid w:val="007D14AA"/>
    <w:rsid w:val="007E519E"/>
    <w:rsid w:val="00815AE7"/>
    <w:rsid w:val="00823772"/>
    <w:rsid w:val="00832751"/>
    <w:rsid w:val="008463DE"/>
    <w:rsid w:val="00864CE2"/>
    <w:rsid w:val="00877CB7"/>
    <w:rsid w:val="008809C9"/>
    <w:rsid w:val="00895D38"/>
    <w:rsid w:val="008A37C0"/>
    <w:rsid w:val="008A555C"/>
    <w:rsid w:val="008B5CFE"/>
    <w:rsid w:val="008D1F82"/>
    <w:rsid w:val="008D5BE5"/>
    <w:rsid w:val="008E5BEC"/>
    <w:rsid w:val="008F7C8A"/>
    <w:rsid w:val="00904D20"/>
    <w:rsid w:val="00917F7D"/>
    <w:rsid w:val="00921AB8"/>
    <w:rsid w:val="009340BC"/>
    <w:rsid w:val="00935684"/>
    <w:rsid w:val="00942D91"/>
    <w:rsid w:val="009524DC"/>
    <w:rsid w:val="00960E69"/>
    <w:rsid w:val="009613DD"/>
    <w:rsid w:val="00965C4A"/>
    <w:rsid w:val="00972714"/>
    <w:rsid w:val="0098459A"/>
    <w:rsid w:val="009A25A0"/>
    <w:rsid w:val="009B3301"/>
    <w:rsid w:val="009B6C9A"/>
    <w:rsid w:val="009B7830"/>
    <w:rsid w:val="009D1FD3"/>
    <w:rsid w:val="00A12BC2"/>
    <w:rsid w:val="00A13C0D"/>
    <w:rsid w:val="00A1581F"/>
    <w:rsid w:val="00A312E6"/>
    <w:rsid w:val="00A37530"/>
    <w:rsid w:val="00A47C52"/>
    <w:rsid w:val="00A54968"/>
    <w:rsid w:val="00A74850"/>
    <w:rsid w:val="00A76A00"/>
    <w:rsid w:val="00A81064"/>
    <w:rsid w:val="00A839F5"/>
    <w:rsid w:val="00A8407B"/>
    <w:rsid w:val="00A85096"/>
    <w:rsid w:val="00A853D4"/>
    <w:rsid w:val="00A85582"/>
    <w:rsid w:val="00A929A1"/>
    <w:rsid w:val="00A951F2"/>
    <w:rsid w:val="00A974A8"/>
    <w:rsid w:val="00AA1C6D"/>
    <w:rsid w:val="00AE6B66"/>
    <w:rsid w:val="00AF7236"/>
    <w:rsid w:val="00B074FC"/>
    <w:rsid w:val="00B12571"/>
    <w:rsid w:val="00B16487"/>
    <w:rsid w:val="00B25B95"/>
    <w:rsid w:val="00B30E4C"/>
    <w:rsid w:val="00B32197"/>
    <w:rsid w:val="00B35013"/>
    <w:rsid w:val="00B47B3B"/>
    <w:rsid w:val="00B670CA"/>
    <w:rsid w:val="00B776CB"/>
    <w:rsid w:val="00B806B9"/>
    <w:rsid w:val="00B959FC"/>
    <w:rsid w:val="00B95F28"/>
    <w:rsid w:val="00BA15F4"/>
    <w:rsid w:val="00BB2BF1"/>
    <w:rsid w:val="00BC39D0"/>
    <w:rsid w:val="00BC7E1D"/>
    <w:rsid w:val="00BD0754"/>
    <w:rsid w:val="00BF775D"/>
    <w:rsid w:val="00C0517C"/>
    <w:rsid w:val="00C078CC"/>
    <w:rsid w:val="00C13248"/>
    <w:rsid w:val="00C57FA2"/>
    <w:rsid w:val="00C7052C"/>
    <w:rsid w:val="00C726C5"/>
    <w:rsid w:val="00CA4EB6"/>
    <w:rsid w:val="00D04727"/>
    <w:rsid w:val="00D06A34"/>
    <w:rsid w:val="00D2090C"/>
    <w:rsid w:val="00D73E9A"/>
    <w:rsid w:val="00D86CA0"/>
    <w:rsid w:val="00D92984"/>
    <w:rsid w:val="00D92E89"/>
    <w:rsid w:val="00DB39FA"/>
    <w:rsid w:val="00DB5289"/>
    <w:rsid w:val="00DD3CEA"/>
    <w:rsid w:val="00DF3AB9"/>
    <w:rsid w:val="00E01B07"/>
    <w:rsid w:val="00E04BDA"/>
    <w:rsid w:val="00E16BB2"/>
    <w:rsid w:val="00E21797"/>
    <w:rsid w:val="00E41765"/>
    <w:rsid w:val="00E5598F"/>
    <w:rsid w:val="00E672EE"/>
    <w:rsid w:val="00E8673A"/>
    <w:rsid w:val="00E93888"/>
    <w:rsid w:val="00EB277D"/>
    <w:rsid w:val="00EB3445"/>
    <w:rsid w:val="00EC4EB5"/>
    <w:rsid w:val="00EF4D43"/>
    <w:rsid w:val="00F03837"/>
    <w:rsid w:val="00F12776"/>
    <w:rsid w:val="00F329B5"/>
    <w:rsid w:val="00F36709"/>
    <w:rsid w:val="00F45093"/>
    <w:rsid w:val="00F94597"/>
    <w:rsid w:val="00F94B63"/>
    <w:rsid w:val="00FC37E0"/>
    <w:rsid w:val="00FE4A53"/>
    <w:rsid w:val="00FE6519"/>
    <w:rsid w:val="00FF02C3"/>
    <w:rsid w:val="00FF1AAE"/>
    <w:rsid w:val="00FF357F"/>
    <w:rsid w:val="1D10168F"/>
    <w:rsid w:val="34CA0F0A"/>
    <w:rsid w:val="46753E29"/>
    <w:rsid w:val="7ECF1852"/>
    <w:rsid w:val="DD7E085E"/>
    <w:rsid w:val="EBD2DB0C"/>
    <w:rsid w:val="FEFCD0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link w:val="16"/>
    <w:qFormat/>
    <w:uiPriority w:val="0"/>
    <w:pPr>
      <w:snapToGrid w:val="0"/>
      <w:ind w:firstLine="630"/>
    </w:pPr>
    <w:rPr>
      <w:rFonts w:ascii="仿宋_GB2312" w:hAnsi="宋体" w:eastAsia="仿宋_GB2312"/>
      <w:sz w:val="36"/>
      <w:szCs w:val="20"/>
    </w:rPr>
  </w:style>
  <w:style w:type="paragraph" w:styleId="3">
    <w:name w:val="Balloon Text"/>
    <w:basedOn w:val="1"/>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qFormat/>
    <w:uiPriority w:val="0"/>
    <w:pPr>
      <w:snapToGrid w:val="0"/>
      <w:jc w:val="left"/>
    </w:pPr>
    <w:rPr>
      <w:rFonts w:ascii="Times New Roman" w:hAnsi="Times New Roman"/>
      <w:szCs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paragraph" w:customStyle="1" w:styleId="11">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2">
    <w:name w:val="样式1"/>
    <w:basedOn w:val="1"/>
    <w:qFormat/>
    <w:uiPriority w:val="0"/>
    <w:pPr>
      <w:ind w:right="-357" w:rightChars="-170"/>
    </w:pPr>
    <w:rPr>
      <w:rFonts w:ascii="仿宋_GB2312" w:hAnsi="黑体" w:eastAsia="仿宋_GB2312"/>
      <w:bCs/>
      <w:sz w:val="32"/>
      <w:szCs w:val="32"/>
    </w:rPr>
  </w:style>
  <w:style w:type="character" w:customStyle="1" w:styleId="13">
    <w:name w:val="tcnt2"/>
    <w:basedOn w:val="8"/>
    <w:qFormat/>
    <w:uiPriority w:val="0"/>
  </w:style>
  <w:style w:type="character" w:customStyle="1" w:styleId="14">
    <w:name w:val="页脚 Char"/>
    <w:basedOn w:val="8"/>
    <w:link w:val="4"/>
    <w:qFormat/>
    <w:uiPriority w:val="99"/>
    <w:rPr>
      <w:kern w:val="2"/>
      <w:sz w:val="18"/>
      <w:szCs w:val="18"/>
    </w:rPr>
  </w:style>
  <w:style w:type="paragraph" w:styleId="15">
    <w:name w:val="List Paragraph"/>
    <w:basedOn w:val="1"/>
    <w:qFormat/>
    <w:uiPriority w:val="0"/>
    <w:pPr>
      <w:ind w:firstLine="420" w:firstLineChars="200"/>
    </w:pPr>
  </w:style>
  <w:style w:type="character" w:customStyle="1" w:styleId="16">
    <w:name w:val="正文文本缩进 Char"/>
    <w:basedOn w:val="8"/>
    <w:link w:val="2"/>
    <w:qFormat/>
    <w:uiPriority w:val="0"/>
    <w:rPr>
      <w:rFonts w:ascii="仿宋_GB2312" w:hAnsi="宋体" w:eastAsia="仿宋_GB2312"/>
      <w:kern w:val="2"/>
      <w:sz w:val="36"/>
    </w:rPr>
  </w:style>
  <w:style w:type="paragraph" w:customStyle="1" w:styleId="17">
    <w:name w:val="正文样式1"/>
    <w:basedOn w:val="1"/>
    <w:qFormat/>
    <w:uiPriority w:val="0"/>
    <w:pPr>
      <w:spacing w:line="360" w:lineRule="auto"/>
    </w:pPr>
    <w:rPr>
      <w:rFonts w:ascii="Times New Roman" w:hAnsi="Times New Roman" w:eastAsia="仿宋_GB2312"/>
      <w:sz w:val="32"/>
      <w:szCs w:val="20"/>
    </w:rPr>
  </w:style>
  <w:style w:type="character" w:customStyle="1" w:styleId="18">
    <w:name w:val="脚注文本 Char"/>
    <w:basedOn w:val="8"/>
    <w:link w:val="6"/>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hengpu</Company>
  <Pages>8</Pages>
  <Words>589</Words>
  <Characters>3358</Characters>
  <Lines>27</Lines>
  <Paragraphs>7</Paragraphs>
  <TotalTime>41</TotalTime>
  <ScaleCrop>false</ScaleCrop>
  <LinksUpToDate>false</LinksUpToDate>
  <CharactersWithSpaces>3940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2018-05-15T03:18:00Z</dcterms:created>
  <dc:creator>alang</dc:creator>
  <cp:lastModifiedBy>阎虹宇</cp:lastModifiedBy>
  <cp:lastPrinted>2016-01-01T02:15:00Z</cp:lastPrinted>
  <dcterms:modified xsi:type="dcterms:W3CDTF">2022-08-10T00:16:41Z</dcterms:modified>
  <dc:title>关于审定宁夏回族自治区2014年调整</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