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35" w:rsidRDefault="00514C35" w:rsidP="00514C35">
      <w:pPr>
        <w:spacing w:line="600" w:lineRule="exact"/>
        <w:rPr>
          <w:rStyle w:val="NormalCharacter"/>
          <w:rFonts w:ascii="黑体" w:eastAsia="黑体" w:hAnsi="黑体" w:hint="eastAsia"/>
          <w:sz w:val="28"/>
          <w:szCs w:val="28"/>
        </w:rPr>
      </w:pPr>
      <w:r>
        <w:rPr>
          <w:rStyle w:val="NormalCharacter"/>
          <w:rFonts w:ascii="黑体" w:eastAsia="黑体" w:hAnsi="黑体"/>
          <w:sz w:val="28"/>
          <w:szCs w:val="28"/>
        </w:rPr>
        <w:t>附</w:t>
      </w:r>
      <w:r>
        <w:rPr>
          <w:rStyle w:val="NormalCharacter"/>
          <w:rFonts w:ascii="黑体" w:eastAsia="黑体" w:hAnsi="黑体" w:hint="eastAsia"/>
          <w:sz w:val="28"/>
          <w:szCs w:val="28"/>
        </w:rPr>
        <w:t>件</w:t>
      </w:r>
    </w:p>
    <w:p w:rsidR="00514C35" w:rsidRDefault="00514C35" w:rsidP="00514C35">
      <w:pPr>
        <w:spacing w:line="600" w:lineRule="exact"/>
        <w:jc w:val="center"/>
        <w:rPr>
          <w:rStyle w:val="NormalCharacter"/>
          <w:rFonts w:ascii="黑体" w:eastAsia="黑体" w:hAnsi="黑体"/>
          <w:sz w:val="36"/>
          <w:szCs w:val="36"/>
        </w:rPr>
      </w:pPr>
      <w:r>
        <w:rPr>
          <w:rStyle w:val="NormalCharacter"/>
          <w:rFonts w:ascii="黑体" w:eastAsia="黑体" w:hAnsi="黑体"/>
          <w:sz w:val="36"/>
          <w:szCs w:val="36"/>
        </w:rPr>
        <w:t>宁夏全民</w:t>
      </w:r>
      <w:proofErr w:type="gramStart"/>
      <w:r>
        <w:rPr>
          <w:rStyle w:val="NormalCharacter"/>
          <w:rFonts w:ascii="黑体" w:eastAsia="黑体" w:hAnsi="黑体"/>
          <w:sz w:val="36"/>
          <w:szCs w:val="36"/>
        </w:rPr>
        <w:t>医</w:t>
      </w:r>
      <w:proofErr w:type="gramEnd"/>
      <w:r>
        <w:rPr>
          <w:rStyle w:val="NormalCharacter"/>
          <w:rFonts w:ascii="黑体" w:eastAsia="黑体" w:hAnsi="黑体"/>
          <w:sz w:val="36"/>
          <w:szCs w:val="36"/>
        </w:rPr>
        <w:t>保“十四五”规划重点项目一览表</w:t>
      </w:r>
    </w:p>
    <w:tbl>
      <w:tblPr>
        <w:tblW w:w="0" w:type="auto"/>
        <w:tblInd w:w="-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1603"/>
        <w:gridCol w:w="4996"/>
        <w:gridCol w:w="1923"/>
      </w:tblGrid>
      <w:tr w:rsidR="00514C35" w:rsidTr="000D4F74">
        <w:trPr>
          <w:trHeight w:val="418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  <w:t xml:space="preserve">  重点项目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  <w:t xml:space="preserve">               功     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4"/>
              </w:rPr>
              <w:t>建设周期</w:t>
            </w:r>
          </w:p>
        </w:tc>
      </w:tr>
      <w:tr w:rsidR="00514C35" w:rsidTr="000D4F74">
        <w:trPr>
          <w:trHeight w:val="17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保大数据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决策风控系统</w:t>
            </w:r>
            <w:proofErr w:type="gramEnd"/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ind w:firstLineChars="200" w:firstLine="480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开发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保大数据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决策风控系统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，系统设在自治区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保局。建立基金数据治理、运行分析评价、风险评估、预测预警、中长期精算等决策分析，全方位、多角度支持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医保科学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决策。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2021年</w:t>
            </w: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—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</w:t>
            </w: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2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年</w:t>
            </w:r>
          </w:p>
        </w:tc>
      </w:tr>
      <w:tr w:rsidR="00514C35" w:rsidTr="000D4F74">
        <w:trPr>
          <w:trHeight w:val="153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保支付方式改革管理平台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ind w:firstLineChars="200" w:firstLine="480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建立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保支付方式改革管理平台，平台设在自治区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保局。收集、分析全域、全病种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保数据，支持以病种付费为主的多元复合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式支付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方式改革全面推进。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2021年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—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2022年</w:t>
            </w:r>
          </w:p>
        </w:tc>
      </w:tr>
      <w:tr w:rsidR="00514C35" w:rsidTr="000D4F74">
        <w:trPr>
          <w:trHeight w:val="11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保信用评价管理系统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ind w:firstLineChars="200" w:firstLine="480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建立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保信用评价管理系统，系统设在自治区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保局。全面采集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保信用主体的信用信息，开展信用状况评价，实施分级分类监管。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</w:t>
            </w: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1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—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</w:t>
            </w: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2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年</w:t>
            </w:r>
          </w:p>
        </w:tc>
      </w:tr>
      <w:tr w:rsidR="00514C35" w:rsidTr="000D4F74">
        <w:trPr>
          <w:trHeight w:val="23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保智能监管系统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ind w:firstLineChars="200" w:firstLine="480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建立全区统一的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保智能监管系统，系统设在自治区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保局。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保智能监管系统依托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保智能监控国家示范点，与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医保信息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平台、大数据系统对接，完善临床知识库和规则库，实现事前提醒预警、事中监督、事后审核的全流程智能监控。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</w:t>
            </w: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1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—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</w:t>
            </w: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2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年</w:t>
            </w:r>
          </w:p>
        </w:tc>
      </w:tr>
      <w:tr w:rsidR="00514C35" w:rsidTr="000D4F74">
        <w:trPr>
          <w:trHeight w:val="22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药品和医用耗材</w:t>
            </w:r>
            <w:proofErr w:type="gramStart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招采管理</w:t>
            </w:r>
            <w:proofErr w:type="gramEnd"/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子系统医药采购平台建设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ind w:firstLineChars="200" w:firstLine="480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“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宁夏医药采购平台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”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共享升级建设，顺应新时期医药招标采购管理职能，理顺政策制定、执行、运维等业务管理权责，形成职责清晰、分工明确、协调联动的专业化、标准化、规范化医药采购平台，实现招标、采购、交易、结算、监管一体化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  <w:t>2021年完成</w:t>
            </w:r>
          </w:p>
        </w:tc>
      </w:tr>
      <w:tr w:rsidR="00514C35" w:rsidTr="000D4F74">
        <w:trPr>
          <w:trHeight w:val="22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jc w:val="center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医保专业</w:t>
            </w:r>
            <w:proofErr w:type="gramEnd"/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人才培养计划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ind w:firstLineChars="200" w:firstLine="480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采取与科研院所合作、双向挂职交流使用等方式，有计划地在全区医疗保障系统内培养一批中青年专业人才，涵盖</w:t>
            </w:r>
            <w:proofErr w:type="gramStart"/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保管理经办、支付方式改革、</w:t>
            </w:r>
            <w:proofErr w:type="gramStart"/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医</w:t>
            </w:r>
            <w:proofErr w:type="gramEnd"/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保基金监管、医疗服务价格、医药管理服务等领域，为全区医疗保障管理和重大改革发展提供人力保障。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35" w:rsidRDefault="00514C35" w:rsidP="000D4F74">
            <w:pPr>
              <w:spacing w:line="360" w:lineRule="exact"/>
              <w:textAlignment w:val="baseline"/>
              <w:rPr>
                <w:rStyle w:val="NormalCharacter"/>
                <w:rFonts w:ascii="楷体_GB2312" w:eastAsia="楷体_GB2312" w:hAnsi="仿宋_GB2312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仿宋_GB2312" w:hint="eastAsia"/>
                <w:kern w:val="0"/>
                <w:sz w:val="24"/>
              </w:rPr>
              <w:t>2021年—2025年</w:t>
            </w:r>
          </w:p>
        </w:tc>
      </w:tr>
    </w:tbl>
    <w:p w:rsidR="00514C35" w:rsidRDefault="00514C35" w:rsidP="00514C35">
      <w:pPr>
        <w:spacing w:line="600" w:lineRule="exact"/>
        <w:rPr>
          <w:rStyle w:val="NormalCharacter"/>
          <w:rFonts w:ascii="仿宋_GB2312" w:eastAsia="仿宋_GB2312" w:hAnsi="仿宋_GB2312" w:hint="eastAsia"/>
          <w:kern w:val="0"/>
          <w:sz w:val="24"/>
        </w:rPr>
      </w:pPr>
      <w:r>
        <w:rPr>
          <w:rStyle w:val="NormalCharacter"/>
          <w:rFonts w:ascii="仿宋_GB2312" w:eastAsia="仿宋_GB2312" w:hAnsi="仿宋_GB2312" w:hint="eastAsia"/>
          <w:kern w:val="0"/>
          <w:sz w:val="24"/>
        </w:rPr>
        <w:t>注：以上1项-5项规划重点项目是全区</w:t>
      </w:r>
      <w:proofErr w:type="gramStart"/>
      <w:r>
        <w:rPr>
          <w:rStyle w:val="NormalCharacter"/>
          <w:rFonts w:ascii="仿宋_GB2312" w:eastAsia="仿宋_GB2312" w:hAnsi="仿宋_GB2312" w:hint="eastAsia"/>
          <w:kern w:val="0"/>
          <w:sz w:val="24"/>
        </w:rPr>
        <w:t>医保信息</w:t>
      </w:r>
      <w:proofErr w:type="gramEnd"/>
      <w:r>
        <w:rPr>
          <w:rStyle w:val="NormalCharacter"/>
          <w:rFonts w:ascii="仿宋_GB2312" w:eastAsia="仿宋_GB2312" w:hAnsi="仿宋_GB2312" w:hint="eastAsia"/>
          <w:kern w:val="0"/>
          <w:sz w:val="24"/>
        </w:rPr>
        <w:t>平台的主要业务功能子项目。</w:t>
      </w:r>
    </w:p>
    <w:p w:rsidR="00A95EBE" w:rsidRPr="00514C35" w:rsidRDefault="00A95EBE"/>
    <w:sectPr w:rsidR="00A95EBE" w:rsidRPr="00514C35" w:rsidSect="00A9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C35"/>
    <w:rsid w:val="00514C35"/>
    <w:rsid w:val="00A9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14C3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4C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514C35"/>
  </w:style>
  <w:style w:type="character" w:customStyle="1" w:styleId="3Char">
    <w:name w:val="标题 3 Char"/>
    <w:basedOn w:val="a0"/>
    <w:link w:val="3"/>
    <w:uiPriority w:val="9"/>
    <w:semiHidden/>
    <w:rsid w:val="00514C3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2021-11-09T02:56:00Z</dcterms:created>
  <dcterms:modified xsi:type="dcterms:W3CDTF">2021-11-09T02:57:00Z</dcterms:modified>
</cp:coreProperties>
</file>