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FFFFFF"/>
          <w:left w:val="single" w:sz="4" w:space="0" w:color="FFFFFF"/>
          <w:bottom w:val="single" w:sz="12" w:space="0" w:color="FF0000"/>
          <w:right w:val="single" w:sz="4" w:space="0" w:color="FFFFFF"/>
          <w:insideH w:val="single" w:sz="4" w:space="0" w:color="FFFFFF"/>
          <w:insideV w:val="single" w:sz="4" w:space="0" w:color="FFFFFF"/>
        </w:tblBorders>
        <w:tblLook w:val="04A0" w:firstRow="1" w:lastRow="0" w:firstColumn="1" w:lastColumn="0" w:noHBand="0" w:noVBand="1"/>
      </w:tblPr>
      <w:tblGrid>
        <w:gridCol w:w="4530"/>
        <w:gridCol w:w="4530"/>
      </w:tblGrid>
      <w:tr w:rsidR="000F7FAD">
        <w:trPr>
          <w:trHeight w:hRule="exact" w:val="1531"/>
          <w:hidden/>
        </w:trPr>
        <w:tc>
          <w:tcPr>
            <w:tcW w:w="4530" w:type="dxa"/>
          </w:tcPr>
          <w:p w:rsidR="000F7FAD" w:rsidRDefault="000F7FAD">
            <w:pPr>
              <w:autoSpaceDE w:val="0"/>
              <w:autoSpaceDN w:val="0"/>
              <w:adjustRightInd w:val="0"/>
              <w:snapToGrid w:val="0"/>
              <w:spacing w:before="50"/>
              <w:rPr>
                <w:rFonts w:eastAsia="黑体"/>
                <w:vanish/>
                <w:kern w:val="0"/>
                <w:sz w:val="31"/>
              </w:rPr>
            </w:pPr>
            <w:bookmarkStart w:id="0" w:name="_GoBack"/>
            <w:bookmarkEnd w:id="0"/>
          </w:p>
        </w:tc>
        <w:tc>
          <w:tcPr>
            <w:tcW w:w="4530" w:type="dxa"/>
            <w:vAlign w:val="center"/>
          </w:tcPr>
          <w:p w:rsidR="000F7FAD" w:rsidRDefault="000F7FAD">
            <w:pPr>
              <w:adjustRightInd w:val="0"/>
              <w:snapToGrid w:val="0"/>
              <w:spacing w:before="50"/>
              <w:jc w:val="right"/>
              <w:rPr>
                <w:rFonts w:eastAsia="黑体"/>
                <w:vanish/>
                <w:kern w:val="0"/>
                <w:sz w:val="31"/>
              </w:rPr>
            </w:pPr>
          </w:p>
        </w:tc>
      </w:tr>
    </w:tbl>
    <w:p w:rsidR="000F7FAD" w:rsidRDefault="000F7FAD">
      <w:pPr>
        <w:spacing w:line="660" w:lineRule="exact"/>
        <w:jc w:val="center"/>
        <w:rPr>
          <w:rFonts w:ascii="方正小标宋简体" w:eastAsia="方正小标宋简体"/>
          <w:sz w:val="44"/>
          <w:szCs w:val="44"/>
        </w:rPr>
      </w:pPr>
    </w:p>
    <w:p w:rsidR="000F7FAD" w:rsidRDefault="000F7FAD">
      <w:pPr>
        <w:spacing w:line="660" w:lineRule="exact"/>
        <w:jc w:val="center"/>
        <w:rPr>
          <w:rFonts w:ascii="方正小标宋简体" w:eastAsia="方正小标宋简体"/>
          <w:sz w:val="44"/>
          <w:szCs w:val="44"/>
        </w:rPr>
      </w:pPr>
    </w:p>
    <w:p w:rsidR="000F7FAD" w:rsidRDefault="000F7FAD">
      <w:pPr>
        <w:spacing w:line="660" w:lineRule="exact"/>
        <w:jc w:val="center"/>
        <w:rPr>
          <w:rFonts w:ascii="方正小标宋简体" w:eastAsia="方正小标宋简体"/>
          <w:sz w:val="44"/>
          <w:szCs w:val="44"/>
        </w:rPr>
      </w:pPr>
    </w:p>
    <w:p w:rsidR="000F7FAD" w:rsidRDefault="00BB4424">
      <w:pPr>
        <w:spacing w:line="660" w:lineRule="exact"/>
        <w:jc w:val="center"/>
        <w:rPr>
          <w:rFonts w:ascii="方正小标宋简体" w:eastAsia="方正小标宋简体"/>
          <w:sz w:val="44"/>
          <w:szCs w:val="44"/>
        </w:rPr>
      </w:pPr>
      <w:r>
        <w:rPr>
          <w:rFonts w:ascii="方正小标宋简体" w:eastAsia="方正小标宋简体" w:hint="eastAsia"/>
          <w:sz w:val="44"/>
          <w:szCs w:val="44"/>
        </w:rPr>
        <w:t>东莞市人力资源和社会保障事业发展</w:t>
      </w:r>
    </w:p>
    <w:p w:rsidR="000F7FAD" w:rsidRDefault="00BB4424">
      <w:pPr>
        <w:spacing w:line="660" w:lineRule="exact"/>
        <w:jc w:val="center"/>
        <w:rPr>
          <w:rFonts w:ascii="方正小标宋简体" w:eastAsia="方正小标宋简体"/>
          <w:sz w:val="44"/>
          <w:szCs w:val="44"/>
        </w:rPr>
      </w:pPr>
      <w:r>
        <w:rPr>
          <w:rFonts w:ascii="方正小标宋简体" w:eastAsia="方正小标宋简体" w:hint="eastAsia"/>
          <w:sz w:val="44"/>
          <w:szCs w:val="44"/>
        </w:rPr>
        <w:t>“十四五”规划</w:t>
      </w:r>
    </w:p>
    <w:p w:rsidR="000F7FAD" w:rsidRDefault="000F7FAD">
      <w:pPr>
        <w:tabs>
          <w:tab w:val="left" w:pos="7350"/>
          <w:tab w:val="left" w:pos="7500"/>
        </w:tabs>
        <w:topLinePunct/>
        <w:autoSpaceDE w:val="0"/>
        <w:autoSpaceDN w:val="0"/>
        <w:spacing w:line="600" w:lineRule="exact"/>
        <w:ind w:firstLine="615"/>
        <w:rPr>
          <w:rFonts w:ascii="仿宋_GB2312"/>
          <w:sz w:val="32"/>
          <w:szCs w:val="32"/>
        </w:rPr>
      </w:pPr>
    </w:p>
    <w:p w:rsidR="000F7FAD" w:rsidRDefault="000F7FAD">
      <w:pPr>
        <w:tabs>
          <w:tab w:val="left" w:pos="7350"/>
          <w:tab w:val="left" w:pos="7500"/>
        </w:tabs>
        <w:topLinePunct/>
        <w:autoSpaceDE w:val="0"/>
        <w:autoSpaceDN w:val="0"/>
        <w:spacing w:line="600" w:lineRule="exact"/>
        <w:ind w:firstLine="615"/>
        <w:rPr>
          <w:rFonts w:ascii="仿宋_GB2312"/>
          <w:sz w:val="32"/>
          <w:szCs w:val="32"/>
        </w:rPr>
      </w:pPr>
    </w:p>
    <w:p w:rsidR="000F7FAD" w:rsidRDefault="000F7FAD">
      <w:pPr>
        <w:tabs>
          <w:tab w:val="left" w:pos="7350"/>
          <w:tab w:val="left" w:pos="7500"/>
        </w:tabs>
        <w:topLinePunct/>
        <w:autoSpaceDE w:val="0"/>
        <w:autoSpaceDN w:val="0"/>
        <w:spacing w:line="600" w:lineRule="exact"/>
        <w:ind w:firstLine="615"/>
        <w:rPr>
          <w:rFonts w:ascii="仿宋_GB2312"/>
          <w:sz w:val="32"/>
          <w:szCs w:val="32"/>
        </w:rPr>
      </w:pPr>
    </w:p>
    <w:p w:rsidR="000F7FAD" w:rsidRDefault="000F7FAD">
      <w:pPr>
        <w:tabs>
          <w:tab w:val="left" w:pos="7350"/>
          <w:tab w:val="left" w:pos="7500"/>
        </w:tabs>
        <w:topLinePunct/>
        <w:autoSpaceDE w:val="0"/>
        <w:autoSpaceDN w:val="0"/>
        <w:spacing w:line="600" w:lineRule="exact"/>
        <w:ind w:firstLine="615"/>
        <w:rPr>
          <w:rFonts w:ascii="仿宋_GB2312"/>
          <w:sz w:val="32"/>
          <w:szCs w:val="32"/>
        </w:rPr>
      </w:pPr>
    </w:p>
    <w:p w:rsidR="000F7FAD" w:rsidRDefault="000F7FAD">
      <w:pPr>
        <w:tabs>
          <w:tab w:val="left" w:pos="7350"/>
          <w:tab w:val="left" w:pos="7500"/>
        </w:tabs>
        <w:topLinePunct/>
        <w:autoSpaceDE w:val="0"/>
        <w:autoSpaceDN w:val="0"/>
        <w:spacing w:line="600" w:lineRule="exact"/>
        <w:ind w:firstLine="615"/>
        <w:rPr>
          <w:rFonts w:ascii="仿宋_GB2312"/>
          <w:sz w:val="32"/>
          <w:szCs w:val="32"/>
        </w:rPr>
      </w:pPr>
    </w:p>
    <w:p w:rsidR="000F7FAD" w:rsidRDefault="000F7FAD">
      <w:pPr>
        <w:tabs>
          <w:tab w:val="left" w:pos="7350"/>
          <w:tab w:val="left" w:pos="7500"/>
        </w:tabs>
        <w:topLinePunct/>
        <w:autoSpaceDE w:val="0"/>
        <w:autoSpaceDN w:val="0"/>
        <w:spacing w:line="600" w:lineRule="exact"/>
        <w:ind w:firstLine="615"/>
        <w:rPr>
          <w:rFonts w:ascii="仿宋_GB2312"/>
          <w:sz w:val="32"/>
          <w:szCs w:val="32"/>
        </w:rPr>
      </w:pPr>
    </w:p>
    <w:p w:rsidR="000F7FAD" w:rsidRDefault="000F7FAD">
      <w:pPr>
        <w:tabs>
          <w:tab w:val="left" w:pos="7350"/>
          <w:tab w:val="left" w:pos="7500"/>
        </w:tabs>
        <w:topLinePunct/>
        <w:autoSpaceDE w:val="0"/>
        <w:autoSpaceDN w:val="0"/>
        <w:spacing w:line="600" w:lineRule="exact"/>
        <w:ind w:firstLine="615"/>
        <w:rPr>
          <w:rFonts w:ascii="仿宋_GB2312"/>
          <w:sz w:val="32"/>
          <w:szCs w:val="32"/>
        </w:rPr>
      </w:pPr>
    </w:p>
    <w:p w:rsidR="000F7FAD" w:rsidRDefault="000F7FAD">
      <w:pPr>
        <w:tabs>
          <w:tab w:val="left" w:pos="7350"/>
          <w:tab w:val="left" w:pos="7500"/>
        </w:tabs>
        <w:topLinePunct/>
        <w:autoSpaceDE w:val="0"/>
        <w:autoSpaceDN w:val="0"/>
        <w:spacing w:line="600" w:lineRule="exact"/>
        <w:ind w:firstLine="615"/>
        <w:rPr>
          <w:rFonts w:ascii="仿宋_GB2312"/>
          <w:sz w:val="32"/>
          <w:szCs w:val="32"/>
        </w:rPr>
      </w:pPr>
    </w:p>
    <w:p w:rsidR="000F7FAD" w:rsidRDefault="000F7FAD">
      <w:pPr>
        <w:tabs>
          <w:tab w:val="left" w:pos="7350"/>
          <w:tab w:val="left" w:pos="7500"/>
        </w:tabs>
        <w:topLinePunct/>
        <w:autoSpaceDE w:val="0"/>
        <w:autoSpaceDN w:val="0"/>
        <w:spacing w:line="600" w:lineRule="exact"/>
        <w:ind w:firstLine="615"/>
        <w:rPr>
          <w:rFonts w:ascii="仿宋_GB2312"/>
          <w:sz w:val="32"/>
          <w:szCs w:val="32"/>
        </w:rPr>
      </w:pPr>
    </w:p>
    <w:p w:rsidR="000F7FAD" w:rsidRDefault="000F7FAD">
      <w:pPr>
        <w:tabs>
          <w:tab w:val="left" w:pos="7350"/>
          <w:tab w:val="left" w:pos="7500"/>
        </w:tabs>
        <w:topLinePunct/>
        <w:autoSpaceDE w:val="0"/>
        <w:autoSpaceDN w:val="0"/>
        <w:spacing w:line="600" w:lineRule="exact"/>
        <w:ind w:firstLine="615"/>
        <w:rPr>
          <w:rFonts w:ascii="仿宋_GB2312"/>
          <w:sz w:val="32"/>
          <w:szCs w:val="32"/>
        </w:rPr>
      </w:pPr>
    </w:p>
    <w:p w:rsidR="000F7FAD" w:rsidRDefault="000F7FAD">
      <w:pPr>
        <w:tabs>
          <w:tab w:val="left" w:pos="7350"/>
          <w:tab w:val="left" w:pos="7500"/>
        </w:tabs>
        <w:topLinePunct/>
        <w:autoSpaceDE w:val="0"/>
        <w:autoSpaceDN w:val="0"/>
        <w:spacing w:line="600" w:lineRule="exact"/>
        <w:ind w:firstLine="615"/>
        <w:rPr>
          <w:rFonts w:ascii="仿宋_GB2312"/>
          <w:sz w:val="32"/>
          <w:szCs w:val="32"/>
        </w:rPr>
      </w:pPr>
    </w:p>
    <w:p w:rsidR="000F7FAD" w:rsidRDefault="00BB4424">
      <w:pPr>
        <w:tabs>
          <w:tab w:val="left" w:pos="7350"/>
          <w:tab w:val="left" w:pos="7500"/>
        </w:tabs>
        <w:topLinePunct/>
        <w:autoSpaceDE w:val="0"/>
        <w:autoSpaceDN w:val="0"/>
        <w:spacing w:line="600" w:lineRule="exact"/>
        <w:jc w:val="center"/>
        <w:rPr>
          <w:rFonts w:eastAsia="楷体_GB2312"/>
          <w:sz w:val="32"/>
          <w:szCs w:val="32"/>
        </w:rPr>
      </w:pPr>
      <w:r>
        <w:rPr>
          <w:rFonts w:eastAsia="楷体_GB2312"/>
          <w:sz w:val="32"/>
          <w:szCs w:val="32"/>
        </w:rPr>
        <w:t>2022</w:t>
      </w:r>
      <w:r>
        <w:rPr>
          <w:rFonts w:eastAsia="楷体_GB2312"/>
          <w:sz w:val="32"/>
          <w:szCs w:val="32"/>
        </w:rPr>
        <w:t>年</w:t>
      </w:r>
      <w:r>
        <w:rPr>
          <w:rFonts w:eastAsia="楷体_GB2312" w:hint="eastAsia"/>
          <w:sz w:val="32"/>
          <w:szCs w:val="32"/>
        </w:rPr>
        <w:t>4</w:t>
      </w:r>
      <w:r>
        <w:rPr>
          <w:rFonts w:eastAsia="楷体_GB2312"/>
          <w:sz w:val="32"/>
          <w:szCs w:val="32"/>
        </w:rPr>
        <w:t>月</w:t>
      </w:r>
    </w:p>
    <w:p w:rsidR="000F7FAD" w:rsidRDefault="000F7FAD">
      <w:pPr>
        <w:tabs>
          <w:tab w:val="left" w:pos="7350"/>
          <w:tab w:val="left" w:pos="7500"/>
        </w:tabs>
        <w:topLinePunct/>
        <w:autoSpaceDE w:val="0"/>
        <w:autoSpaceDN w:val="0"/>
        <w:spacing w:line="600" w:lineRule="exact"/>
        <w:ind w:firstLine="615"/>
        <w:rPr>
          <w:rFonts w:ascii="仿宋_GB2312"/>
          <w:sz w:val="32"/>
          <w:szCs w:val="32"/>
        </w:rPr>
      </w:pPr>
    </w:p>
    <w:p w:rsidR="000F7FAD" w:rsidRDefault="00BB4424">
      <w:pPr>
        <w:tabs>
          <w:tab w:val="left" w:pos="7350"/>
          <w:tab w:val="left" w:pos="7500"/>
        </w:tabs>
        <w:topLinePunct/>
        <w:autoSpaceDE w:val="0"/>
        <w:autoSpaceDN w:val="0"/>
        <w:spacing w:line="600" w:lineRule="exact"/>
        <w:jc w:val="center"/>
        <w:rPr>
          <w:rFonts w:ascii="黑体" w:eastAsia="黑体" w:hAnsi="黑体"/>
          <w:sz w:val="32"/>
          <w:szCs w:val="32"/>
        </w:rPr>
      </w:pPr>
      <w:r>
        <w:rPr>
          <w:rFonts w:ascii="仿宋_GB2312"/>
          <w:sz w:val="32"/>
          <w:szCs w:val="32"/>
        </w:rPr>
        <w:br w:type="page"/>
      </w:r>
      <w:r>
        <w:rPr>
          <w:rFonts w:ascii="黑体" w:eastAsia="黑体" w:hAnsi="黑体" w:hint="eastAsia"/>
          <w:sz w:val="32"/>
          <w:szCs w:val="32"/>
        </w:rPr>
        <w:lastRenderedPageBreak/>
        <w:t>目</w:t>
      </w:r>
      <w:r>
        <w:rPr>
          <w:rFonts w:ascii="黑体" w:eastAsia="黑体" w:hAnsi="黑体" w:hint="eastAsia"/>
          <w:sz w:val="32"/>
          <w:szCs w:val="32"/>
        </w:rPr>
        <w:t xml:space="preserve">  </w:t>
      </w:r>
      <w:r>
        <w:rPr>
          <w:rFonts w:ascii="黑体" w:eastAsia="黑体" w:hAnsi="黑体" w:hint="eastAsia"/>
          <w:sz w:val="32"/>
          <w:szCs w:val="32"/>
        </w:rPr>
        <w:t>录</w:t>
      </w:r>
    </w:p>
    <w:p w:rsidR="000F7FAD" w:rsidRDefault="00BB4424">
      <w:pPr>
        <w:pStyle w:val="TOC2"/>
        <w:tabs>
          <w:tab w:val="right" w:leader="dot" w:pos="8844"/>
        </w:tabs>
        <w:ind w:left="600"/>
      </w:pPr>
      <w:r>
        <w:rPr>
          <w:sz w:val="32"/>
          <w:szCs w:val="32"/>
        </w:rPr>
        <w:fldChar w:fldCharType="begin"/>
      </w:r>
      <w:r>
        <w:rPr>
          <w:sz w:val="32"/>
          <w:szCs w:val="32"/>
        </w:rPr>
        <w:instrText xml:space="preserve"> TOC \o "2-3" \h \z \t "</w:instrText>
      </w:r>
      <w:r>
        <w:rPr>
          <w:sz w:val="32"/>
          <w:szCs w:val="32"/>
        </w:rPr>
        <w:instrText>标题</w:instrText>
      </w:r>
      <w:r>
        <w:rPr>
          <w:sz w:val="32"/>
          <w:szCs w:val="32"/>
        </w:rPr>
        <w:instrText xml:space="preserve"> 1,1,</w:instrText>
      </w:r>
      <w:r>
        <w:rPr>
          <w:sz w:val="32"/>
          <w:szCs w:val="32"/>
        </w:rPr>
        <w:instrText>规划标题样式</w:instrText>
      </w:r>
      <w:r>
        <w:rPr>
          <w:sz w:val="32"/>
          <w:szCs w:val="32"/>
        </w:rPr>
        <w:instrText xml:space="preserve">1,1" </w:instrText>
      </w:r>
      <w:r>
        <w:rPr>
          <w:sz w:val="32"/>
          <w:szCs w:val="32"/>
        </w:rPr>
        <w:fldChar w:fldCharType="separate"/>
      </w:r>
    </w:p>
    <w:p w:rsidR="000F7FAD" w:rsidRDefault="00BB4424">
      <w:pPr>
        <w:pStyle w:val="TOC1"/>
        <w:tabs>
          <w:tab w:val="right" w:leader="dot" w:pos="8844"/>
        </w:tabs>
        <w:rPr>
          <w:rFonts w:eastAsia="黑体"/>
        </w:rPr>
      </w:pPr>
      <w:hyperlink w:anchor="_Toc16249" w:history="1">
        <w:r>
          <w:rPr>
            <w:rFonts w:eastAsia="黑体"/>
          </w:rPr>
          <w:t>第一章</w:t>
        </w:r>
        <w:r>
          <w:rPr>
            <w:rFonts w:eastAsia="黑体"/>
          </w:rPr>
          <w:t xml:space="preserve">  </w:t>
        </w:r>
        <w:r>
          <w:rPr>
            <w:rFonts w:eastAsia="黑体"/>
          </w:rPr>
          <w:t>发展基础和发展形势</w:t>
        </w:r>
        <w:r>
          <w:rPr>
            <w:rFonts w:eastAsia="黑体"/>
          </w:rPr>
          <w:tab/>
        </w:r>
        <w:r>
          <w:rPr>
            <w:rFonts w:eastAsia="黑体"/>
          </w:rPr>
          <w:fldChar w:fldCharType="begin"/>
        </w:r>
        <w:r>
          <w:rPr>
            <w:rFonts w:eastAsia="黑体"/>
          </w:rPr>
          <w:instrText xml:space="preserve"> PAGEREF _Toc16249 \h </w:instrText>
        </w:r>
        <w:r>
          <w:rPr>
            <w:rFonts w:eastAsia="黑体"/>
          </w:rPr>
        </w:r>
        <w:r>
          <w:rPr>
            <w:rFonts w:eastAsia="黑体"/>
          </w:rPr>
          <w:fldChar w:fldCharType="separate"/>
        </w:r>
        <w:r>
          <w:rPr>
            <w:rFonts w:eastAsia="黑体"/>
          </w:rPr>
          <w:t>6</w:t>
        </w:r>
        <w:r>
          <w:rPr>
            <w:rFonts w:eastAsia="黑体"/>
          </w:rPr>
          <w:fldChar w:fldCharType="end"/>
        </w:r>
      </w:hyperlink>
    </w:p>
    <w:p w:rsidR="000F7FAD" w:rsidRDefault="00BB4424">
      <w:pPr>
        <w:pStyle w:val="TOC2"/>
        <w:tabs>
          <w:tab w:val="right" w:leader="dot" w:pos="8844"/>
        </w:tabs>
        <w:ind w:left="600"/>
        <w:rPr>
          <w:rFonts w:eastAsia="楷体_GB2312"/>
        </w:rPr>
      </w:pPr>
      <w:hyperlink w:anchor="_Toc26374" w:history="1">
        <w:r>
          <w:rPr>
            <w:rFonts w:eastAsia="楷体_GB2312"/>
          </w:rPr>
          <w:t>第一节</w:t>
        </w:r>
        <w:r>
          <w:rPr>
            <w:rFonts w:eastAsia="楷体_GB2312"/>
          </w:rPr>
          <w:t xml:space="preserve">  </w:t>
        </w:r>
        <w:r>
          <w:rPr>
            <w:rFonts w:eastAsia="楷体_GB2312"/>
          </w:rPr>
          <w:t>发展基础</w:t>
        </w:r>
        <w:r>
          <w:rPr>
            <w:rFonts w:eastAsia="楷体_GB2312"/>
          </w:rPr>
          <w:tab/>
        </w:r>
        <w:r>
          <w:rPr>
            <w:rFonts w:eastAsia="楷体_GB2312"/>
          </w:rPr>
          <w:fldChar w:fldCharType="begin"/>
        </w:r>
        <w:r>
          <w:rPr>
            <w:rFonts w:eastAsia="楷体_GB2312"/>
          </w:rPr>
          <w:instrText xml:space="preserve"> PAGEREF _Toc26374 \h </w:instrText>
        </w:r>
        <w:r>
          <w:rPr>
            <w:rFonts w:eastAsia="楷体_GB2312"/>
          </w:rPr>
        </w:r>
        <w:r>
          <w:rPr>
            <w:rFonts w:eastAsia="楷体_GB2312"/>
          </w:rPr>
          <w:fldChar w:fldCharType="separate"/>
        </w:r>
        <w:r>
          <w:rPr>
            <w:rFonts w:eastAsia="楷体_GB2312"/>
          </w:rPr>
          <w:t>6</w:t>
        </w:r>
        <w:r>
          <w:rPr>
            <w:rFonts w:eastAsia="楷体_GB2312"/>
          </w:rPr>
          <w:fldChar w:fldCharType="end"/>
        </w:r>
      </w:hyperlink>
    </w:p>
    <w:p w:rsidR="000F7FAD" w:rsidRDefault="00BB4424">
      <w:pPr>
        <w:pStyle w:val="TOC2"/>
        <w:tabs>
          <w:tab w:val="right" w:leader="dot" w:pos="8844"/>
        </w:tabs>
        <w:ind w:left="600"/>
        <w:rPr>
          <w:rFonts w:eastAsia="楷体_GB2312"/>
        </w:rPr>
      </w:pPr>
      <w:hyperlink w:anchor="_Toc10674" w:history="1">
        <w:r>
          <w:rPr>
            <w:rFonts w:eastAsia="楷体_GB2312"/>
          </w:rPr>
          <w:t>第二节</w:t>
        </w:r>
        <w:r>
          <w:rPr>
            <w:rFonts w:eastAsia="楷体_GB2312"/>
          </w:rPr>
          <w:t xml:space="preserve">  </w:t>
        </w:r>
        <w:r>
          <w:rPr>
            <w:rFonts w:eastAsia="楷体_GB2312"/>
          </w:rPr>
          <w:t>发展形势</w:t>
        </w:r>
        <w:r>
          <w:rPr>
            <w:rFonts w:eastAsia="楷体_GB2312"/>
          </w:rPr>
          <w:tab/>
        </w:r>
        <w:r>
          <w:rPr>
            <w:rFonts w:eastAsia="楷体_GB2312"/>
          </w:rPr>
          <w:fldChar w:fldCharType="begin"/>
        </w:r>
        <w:r>
          <w:rPr>
            <w:rFonts w:eastAsia="楷体_GB2312"/>
          </w:rPr>
          <w:instrText xml:space="preserve"> PAGEREF _Toc10674 \h </w:instrText>
        </w:r>
        <w:r>
          <w:rPr>
            <w:rFonts w:eastAsia="楷体_GB2312"/>
          </w:rPr>
        </w:r>
        <w:r>
          <w:rPr>
            <w:rFonts w:eastAsia="楷体_GB2312"/>
          </w:rPr>
          <w:fldChar w:fldCharType="separate"/>
        </w:r>
        <w:r>
          <w:rPr>
            <w:rFonts w:eastAsia="楷体_GB2312"/>
          </w:rPr>
          <w:t>10</w:t>
        </w:r>
        <w:r>
          <w:rPr>
            <w:rFonts w:eastAsia="楷体_GB2312"/>
          </w:rPr>
          <w:fldChar w:fldCharType="end"/>
        </w:r>
      </w:hyperlink>
    </w:p>
    <w:p w:rsidR="000F7FAD" w:rsidRDefault="00BB4424">
      <w:pPr>
        <w:pStyle w:val="TOC1"/>
        <w:tabs>
          <w:tab w:val="right" w:leader="dot" w:pos="8844"/>
        </w:tabs>
        <w:rPr>
          <w:rFonts w:eastAsia="黑体"/>
        </w:rPr>
      </w:pPr>
      <w:hyperlink w:anchor="_Toc8103" w:history="1">
        <w:r>
          <w:rPr>
            <w:rFonts w:eastAsia="黑体"/>
          </w:rPr>
          <w:t>第二章</w:t>
        </w:r>
        <w:r>
          <w:rPr>
            <w:rFonts w:eastAsia="黑体"/>
          </w:rPr>
          <w:t xml:space="preserve">  </w:t>
        </w:r>
        <w:r>
          <w:rPr>
            <w:rFonts w:eastAsia="黑体"/>
          </w:rPr>
          <w:t>总体要求</w:t>
        </w:r>
        <w:r>
          <w:rPr>
            <w:rFonts w:eastAsia="黑体"/>
          </w:rPr>
          <w:tab/>
        </w:r>
        <w:r>
          <w:rPr>
            <w:rFonts w:eastAsia="黑体"/>
          </w:rPr>
          <w:fldChar w:fldCharType="begin"/>
        </w:r>
        <w:r>
          <w:rPr>
            <w:rFonts w:eastAsia="黑体"/>
          </w:rPr>
          <w:instrText xml:space="preserve"> PAGEREF _Toc8103 \h </w:instrText>
        </w:r>
        <w:r>
          <w:rPr>
            <w:rFonts w:eastAsia="黑体"/>
          </w:rPr>
        </w:r>
        <w:r>
          <w:rPr>
            <w:rFonts w:eastAsia="黑体"/>
          </w:rPr>
          <w:fldChar w:fldCharType="separate"/>
        </w:r>
        <w:r>
          <w:rPr>
            <w:rFonts w:eastAsia="黑体"/>
          </w:rPr>
          <w:t>11</w:t>
        </w:r>
        <w:r>
          <w:rPr>
            <w:rFonts w:eastAsia="黑体"/>
          </w:rPr>
          <w:fldChar w:fldCharType="end"/>
        </w:r>
      </w:hyperlink>
    </w:p>
    <w:p w:rsidR="000F7FAD" w:rsidRDefault="00BB4424">
      <w:pPr>
        <w:pStyle w:val="TOC2"/>
        <w:tabs>
          <w:tab w:val="right" w:leader="dot" w:pos="8844"/>
        </w:tabs>
        <w:ind w:left="600"/>
        <w:rPr>
          <w:rFonts w:eastAsia="楷体_GB2312"/>
        </w:rPr>
      </w:pPr>
      <w:hyperlink w:anchor="_Toc1545" w:history="1">
        <w:r>
          <w:rPr>
            <w:rFonts w:eastAsia="楷体_GB2312"/>
          </w:rPr>
          <w:t>第一节</w:t>
        </w:r>
        <w:r>
          <w:rPr>
            <w:rFonts w:eastAsia="楷体_GB2312"/>
          </w:rPr>
          <w:t xml:space="preserve">  </w:t>
        </w:r>
        <w:r>
          <w:rPr>
            <w:rFonts w:eastAsia="楷体_GB2312"/>
          </w:rPr>
          <w:t>指导思想</w:t>
        </w:r>
        <w:r>
          <w:rPr>
            <w:rFonts w:eastAsia="楷体_GB2312"/>
          </w:rPr>
          <w:tab/>
        </w:r>
        <w:r>
          <w:rPr>
            <w:rFonts w:eastAsia="楷体_GB2312"/>
          </w:rPr>
          <w:fldChar w:fldCharType="begin"/>
        </w:r>
        <w:r>
          <w:rPr>
            <w:rFonts w:eastAsia="楷体_GB2312"/>
          </w:rPr>
          <w:instrText xml:space="preserve"> PAGEREF _Toc1545 \h </w:instrText>
        </w:r>
        <w:r>
          <w:rPr>
            <w:rFonts w:eastAsia="楷体_GB2312"/>
          </w:rPr>
        </w:r>
        <w:r>
          <w:rPr>
            <w:rFonts w:eastAsia="楷体_GB2312"/>
          </w:rPr>
          <w:fldChar w:fldCharType="separate"/>
        </w:r>
        <w:r>
          <w:rPr>
            <w:rFonts w:eastAsia="楷体_GB2312"/>
          </w:rPr>
          <w:t>11</w:t>
        </w:r>
        <w:r>
          <w:rPr>
            <w:rFonts w:eastAsia="楷体_GB2312"/>
          </w:rPr>
          <w:fldChar w:fldCharType="end"/>
        </w:r>
      </w:hyperlink>
    </w:p>
    <w:p w:rsidR="000F7FAD" w:rsidRDefault="00BB4424">
      <w:pPr>
        <w:pStyle w:val="TOC2"/>
        <w:tabs>
          <w:tab w:val="right" w:leader="dot" w:pos="8844"/>
        </w:tabs>
        <w:ind w:left="600"/>
        <w:rPr>
          <w:rFonts w:eastAsia="楷体_GB2312"/>
        </w:rPr>
      </w:pPr>
      <w:hyperlink w:anchor="_Toc13203" w:history="1">
        <w:r>
          <w:rPr>
            <w:rFonts w:eastAsia="楷体_GB2312"/>
          </w:rPr>
          <w:t>第二节</w:t>
        </w:r>
        <w:r>
          <w:rPr>
            <w:rFonts w:eastAsia="楷体_GB2312"/>
          </w:rPr>
          <w:t xml:space="preserve">  </w:t>
        </w:r>
        <w:r>
          <w:rPr>
            <w:rFonts w:eastAsia="楷体_GB2312"/>
          </w:rPr>
          <w:t>基本原则</w:t>
        </w:r>
        <w:r>
          <w:rPr>
            <w:rFonts w:eastAsia="楷体_GB2312"/>
          </w:rPr>
          <w:tab/>
        </w:r>
        <w:r>
          <w:rPr>
            <w:rFonts w:eastAsia="楷体_GB2312"/>
          </w:rPr>
          <w:fldChar w:fldCharType="begin"/>
        </w:r>
        <w:r>
          <w:rPr>
            <w:rFonts w:eastAsia="楷体_GB2312"/>
          </w:rPr>
          <w:instrText xml:space="preserve"> PAGEREF _Toc13203 \h </w:instrText>
        </w:r>
        <w:r>
          <w:rPr>
            <w:rFonts w:eastAsia="楷体_GB2312"/>
          </w:rPr>
        </w:r>
        <w:r>
          <w:rPr>
            <w:rFonts w:eastAsia="楷体_GB2312"/>
          </w:rPr>
          <w:fldChar w:fldCharType="separate"/>
        </w:r>
        <w:r>
          <w:rPr>
            <w:rFonts w:eastAsia="楷体_GB2312"/>
          </w:rPr>
          <w:t>12</w:t>
        </w:r>
        <w:r>
          <w:rPr>
            <w:rFonts w:eastAsia="楷体_GB2312"/>
          </w:rPr>
          <w:fldChar w:fldCharType="end"/>
        </w:r>
      </w:hyperlink>
    </w:p>
    <w:p w:rsidR="000F7FAD" w:rsidRDefault="00BB4424">
      <w:pPr>
        <w:pStyle w:val="TOC2"/>
        <w:tabs>
          <w:tab w:val="right" w:leader="dot" w:pos="8844"/>
        </w:tabs>
        <w:ind w:left="600"/>
        <w:rPr>
          <w:rFonts w:eastAsia="楷体_GB2312"/>
        </w:rPr>
      </w:pPr>
      <w:hyperlink w:anchor="_Toc7313" w:history="1">
        <w:r>
          <w:rPr>
            <w:rFonts w:eastAsia="楷体_GB2312"/>
          </w:rPr>
          <w:t>第三节</w:t>
        </w:r>
        <w:r>
          <w:rPr>
            <w:rFonts w:eastAsia="楷体_GB2312"/>
          </w:rPr>
          <w:t xml:space="preserve">  </w:t>
        </w:r>
        <w:r>
          <w:rPr>
            <w:rFonts w:eastAsia="楷体_GB2312"/>
          </w:rPr>
          <w:t>发展目标</w:t>
        </w:r>
        <w:r>
          <w:rPr>
            <w:rFonts w:eastAsia="楷体_GB2312"/>
          </w:rPr>
          <w:tab/>
        </w:r>
        <w:r>
          <w:rPr>
            <w:rFonts w:eastAsia="楷体_GB2312"/>
          </w:rPr>
          <w:fldChar w:fldCharType="begin"/>
        </w:r>
        <w:r>
          <w:rPr>
            <w:rFonts w:eastAsia="楷体_GB2312"/>
          </w:rPr>
          <w:instrText xml:space="preserve"> PAGEREF _Toc7313 \h </w:instrText>
        </w:r>
        <w:r>
          <w:rPr>
            <w:rFonts w:eastAsia="楷体_GB2312"/>
          </w:rPr>
        </w:r>
        <w:r>
          <w:rPr>
            <w:rFonts w:eastAsia="楷体_GB2312"/>
          </w:rPr>
          <w:fldChar w:fldCharType="separate"/>
        </w:r>
        <w:r>
          <w:rPr>
            <w:rFonts w:eastAsia="楷体_GB2312"/>
          </w:rPr>
          <w:t>13</w:t>
        </w:r>
        <w:r>
          <w:rPr>
            <w:rFonts w:eastAsia="楷体_GB2312"/>
          </w:rPr>
          <w:fldChar w:fldCharType="end"/>
        </w:r>
      </w:hyperlink>
    </w:p>
    <w:p w:rsidR="000F7FAD" w:rsidRDefault="00BB4424">
      <w:pPr>
        <w:pStyle w:val="TOC1"/>
        <w:tabs>
          <w:tab w:val="right" w:leader="dot" w:pos="8844"/>
        </w:tabs>
        <w:rPr>
          <w:rFonts w:eastAsia="黑体"/>
        </w:rPr>
      </w:pPr>
      <w:hyperlink w:anchor="_Toc4531" w:history="1">
        <w:r>
          <w:rPr>
            <w:rFonts w:eastAsia="黑体"/>
          </w:rPr>
          <w:t>第三章</w:t>
        </w:r>
        <w:r>
          <w:rPr>
            <w:rFonts w:eastAsia="黑体"/>
          </w:rPr>
          <w:t xml:space="preserve">  </w:t>
        </w:r>
        <w:r>
          <w:rPr>
            <w:rFonts w:eastAsia="黑体"/>
          </w:rPr>
          <w:t>强化就业优先政策</w:t>
        </w:r>
        <w:r>
          <w:rPr>
            <w:rFonts w:eastAsia="黑体"/>
          </w:rPr>
          <w:t xml:space="preserve">  </w:t>
        </w:r>
        <w:r>
          <w:rPr>
            <w:rFonts w:eastAsia="黑体"/>
          </w:rPr>
          <w:t>推动实现更加充分更高质量就业</w:t>
        </w:r>
        <w:r>
          <w:rPr>
            <w:rFonts w:eastAsia="黑体"/>
          </w:rPr>
          <w:tab/>
        </w:r>
        <w:r>
          <w:rPr>
            <w:rFonts w:eastAsia="黑体"/>
          </w:rPr>
          <w:fldChar w:fldCharType="begin"/>
        </w:r>
        <w:r>
          <w:rPr>
            <w:rFonts w:eastAsia="黑体"/>
          </w:rPr>
          <w:instrText xml:space="preserve"> PAGEREF _Toc4531 \h </w:instrText>
        </w:r>
        <w:r>
          <w:rPr>
            <w:rFonts w:eastAsia="黑体"/>
          </w:rPr>
        </w:r>
        <w:r>
          <w:rPr>
            <w:rFonts w:eastAsia="黑体"/>
          </w:rPr>
          <w:fldChar w:fldCharType="separate"/>
        </w:r>
        <w:r>
          <w:rPr>
            <w:rFonts w:eastAsia="黑体"/>
          </w:rPr>
          <w:t>17</w:t>
        </w:r>
        <w:r>
          <w:rPr>
            <w:rFonts w:eastAsia="黑体"/>
          </w:rPr>
          <w:fldChar w:fldCharType="end"/>
        </w:r>
      </w:hyperlink>
    </w:p>
    <w:p w:rsidR="000F7FAD" w:rsidRDefault="00BB4424">
      <w:pPr>
        <w:pStyle w:val="TOC2"/>
        <w:tabs>
          <w:tab w:val="right" w:leader="dot" w:pos="8844"/>
        </w:tabs>
        <w:ind w:left="600"/>
        <w:rPr>
          <w:rFonts w:eastAsia="楷体_GB2312"/>
        </w:rPr>
      </w:pPr>
      <w:hyperlink w:anchor="_Toc21292" w:history="1">
        <w:r>
          <w:rPr>
            <w:rFonts w:eastAsia="楷体_GB2312"/>
          </w:rPr>
          <w:t>第一节</w:t>
        </w:r>
        <w:r>
          <w:rPr>
            <w:rFonts w:eastAsia="楷体_GB2312"/>
          </w:rPr>
          <w:t xml:space="preserve">  </w:t>
        </w:r>
        <w:r>
          <w:rPr>
            <w:rFonts w:eastAsia="楷体_GB2312"/>
          </w:rPr>
          <w:t>完善就业优先政策体系</w:t>
        </w:r>
        <w:r>
          <w:rPr>
            <w:rFonts w:eastAsia="楷体_GB2312"/>
          </w:rPr>
          <w:tab/>
        </w:r>
        <w:r>
          <w:rPr>
            <w:rFonts w:eastAsia="楷体_GB2312"/>
          </w:rPr>
          <w:fldChar w:fldCharType="begin"/>
        </w:r>
        <w:r>
          <w:rPr>
            <w:rFonts w:eastAsia="楷体_GB2312"/>
          </w:rPr>
          <w:instrText xml:space="preserve"> PAGEREF _Toc21292 \h </w:instrText>
        </w:r>
        <w:r>
          <w:rPr>
            <w:rFonts w:eastAsia="楷体_GB2312"/>
          </w:rPr>
        </w:r>
        <w:r>
          <w:rPr>
            <w:rFonts w:eastAsia="楷体_GB2312"/>
          </w:rPr>
          <w:fldChar w:fldCharType="separate"/>
        </w:r>
        <w:r>
          <w:rPr>
            <w:rFonts w:eastAsia="楷体_GB2312"/>
          </w:rPr>
          <w:t>17</w:t>
        </w:r>
        <w:r>
          <w:rPr>
            <w:rFonts w:eastAsia="楷体_GB2312"/>
          </w:rPr>
          <w:fldChar w:fldCharType="end"/>
        </w:r>
      </w:hyperlink>
    </w:p>
    <w:p w:rsidR="000F7FAD" w:rsidRDefault="00BB4424">
      <w:pPr>
        <w:pStyle w:val="TOC2"/>
        <w:tabs>
          <w:tab w:val="right" w:leader="dot" w:pos="8844"/>
        </w:tabs>
        <w:ind w:left="600"/>
        <w:rPr>
          <w:rFonts w:eastAsia="楷体_GB2312"/>
        </w:rPr>
      </w:pPr>
      <w:hyperlink w:anchor="_Toc22673" w:history="1">
        <w:r>
          <w:rPr>
            <w:rFonts w:eastAsia="楷体_GB2312"/>
          </w:rPr>
          <w:t>第二节</w:t>
        </w:r>
        <w:r>
          <w:rPr>
            <w:rFonts w:eastAsia="楷体_GB2312"/>
          </w:rPr>
          <w:t xml:space="preserve">  </w:t>
        </w:r>
        <w:r>
          <w:rPr>
            <w:rFonts w:eastAsia="楷体_GB2312"/>
          </w:rPr>
          <w:t>完善就业创业服务平台体系</w:t>
        </w:r>
        <w:r>
          <w:rPr>
            <w:rFonts w:eastAsia="楷体_GB2312"/>
          </w:rPr>
          <w:tab/>
        </w:r>
        <w:r>
          <w:rPr>
            <w:rFonts w:eastAsia="楷体_GB2312"/>
          </w:rPr>
          <w:fldChar w:fldCharType="begin"/>
        </w:r>
        <w:r>
          <w:rPr>
            <w:rFonts w:eastAsia="楷体_GB2312"/>
          </w:rPr>
          <w:instrText xml:space="preserve"> PAGEREF _Toc22673 \</w:instrText>
        </w:r>
        <w:r>
          <w:rPr>
            <w:rFonts w:eastAsia="楷体_GB2312"/>
          </w:rPr>
          <w:instrText xml:space="preserve">h </w:instrText>
        </w:r>
        <w:r>
          <w:rPr>
            <w:rFonts w:eastAsia="楷体_GB2312"/>
          </w:rPr>
        </w:r>
        <w:r>
          <w:rPr>
            <w:rFonts w:eastAsia="楷体_GB2312"/>
          </w:rPr>
          <w:fldChar w:fldCharType="separate"/>
        </w:r>
        <w:r>
          <w:rPr>
            <w:rFonts w:eastAsia="楷体_GB2312"/>
          </w:rPr>
          <w:t>19</w:t>
        </w:r>
        <w:r>
          <w:rPr>
            <w:rFonts w:eastAsia="楷体_GB2312"/>
          </w:rPr>
          <w:fldChar w:fldCharType="end"/>
        </w:r>
      </w:hyperlink>
    </w:p>
    <w:p w:rsidR="000F7FAD" w:rsidRDefault="00BB4424">
      <w:pPr>
        <w:pStyle w:val="TOC2"/>
        <w:tabs>
          <w:tab w:val="right" w:leader="dot" w:pos="8844"/>
        </w:tabs>
        <w:ind w:left="600"/>
        <w:rPr>
          <w:rFonts w:eastAsia="楷体_GB2312"/>
        </w:rPr>
      </w:pPr>
      <w:hyperlink w:anchor="_Toc9636" w:history="1">
        <w:r>
          <w:rPr>
            <w:rFonts w:eastAsia="楷体_GB2312"/>
          </w:rPr>
          <w:t>第三节</w:t>
        </w:r>
        <w:r>
          <w:rPr>
            <w:rFonts w:eastAsia="楷体_GB2312"/>
          </w:rPr>
          <w:t xml:space="preserve">  </w:t>
        </w:r>
        <w:r>
          <w:rPr>
            <w:rFonts w:eastAsia="楷体_GB2312"/>
          </w:rPr>
          <w:t>完善就业创业公共服务体系</w:t>
        </w:r>
        <w:r>
          <w:rPr>
            <w:rFonts w:eastAsia="楷体_GB2312"/>
          </w:rPr>
          <w:tab/>
        </w:r>
        <w:r>
          <w:rPr>
            <w:rFonts w:eastAsia="楷体_GB2312"/>
          </w:rPr>
          <w:fldChar w:fldCharType="begin"/>
        </w:r>
        <w:r>
          <w:rPr>
            <w:rFonts w:eastAsia="楷体_GB2312"/>
          </w:rPr>
          <w:instrText xml:space="preserve"> PAGEREF _Toc9636 \h </w:instrText>
        </w:r>
        <w:r>
          <w:rPr>
            <w:rFonts w:eastAsia="楷体_GB2312"/>
          </w:rPr>
        </w:r>
        <w:r>
          <w:rPr>
            <w:rFonts w:eastAsia="楷体_GB2312"/>
          </w:rPr>
          <w:fldChar w:fldCharType="separate"/>
        </w:r>
        <w:r>
          <w:rPr>
            <w:rFonts w:eastAsia="楷体_GB2312"/>
          </w:rPr>
          <w:t>20</w:t>
        </w:r>
        <w:r>
          <w:rPr>
            <w:rFonts w:eastAsia="楷体_GB2312"/>
          </w:rPr>
          <w:fldChar w:fldCharType="end"/>
        </w:r>
      </w:hyperlink>
    </w:p>
    <w:p w:rsidR="000F7FAD" w:rsidRDefault="00BB4424">
      <w:pPr>
        <w:pStyle w:val="TOC1"/>
        <w:tabs>
          <w:tab w:val="right" w:leader="dot" w:pos="8844"/>
        </w:tabs>
        <w:rPr>
          <w:rFonts w:eastAsia="黑体"/>
        </w:rPr>
      </w:pPr>
      <w:hyperlink w:anchor="_Toc13971" w:history="1">
        <w:r>
          <w:rPr>
            <w:rFonts w:eastAsia="黑体"/>
          </w:rPr>
          <w:t>第四章</w:t>
        </w:r>
        <w:r>
          <w:rPr>
            <w:rFonts w:eastAsia="黑体"/>
          </w:rPr>
          <w:t xml:space="preserve">  </w:t>
        </w:r>
        <w:r>
          <w:rPr>
            <w:rFonts w:eastAsia="黑体"/>
          </w:rPr>
          <w:t>加强企业用工服务保障</w:t>
        </w:r>
        <w:r>
          <w:rPr>
            <w:rFonts w:eastAsia="黑体"/>
          </w:rPr>
          <w:t xml:space="preserve"> </w:t>
        </w:r>
        <w:r>
          <w:rPr>
            <w:rFonts w:eastAsia="黑体"/>
          </w:rPr>
          <w:t>全面提升企业人才人力效能</w:t>
        </w:r>
        <w:r>
          <w:rPr>
            <w:rFonts w:eastAsia="黑体"/>
          </w:rPr>
          <w:tab/>
        </w:r>
        <w:r>
          <w:rPr>
            <w:rFonts w:eastAsia="黑体"/>
          </w:rPr>
          <w:fldChar w:fldCharType="begin"/>
        </w:r>
        <w:r>
          <w:rPr>
            <w:rFonts w:eastAsia="黑体"/>
          </w:rPr>
          <w:instrText xml:space="preserve"> PAGEREF _Toc13971 \h </w:instrText>
        </w:r>
        <w:r>
          <w:rPr>
            <w:rFonts w:eastAsia="黑体"/>
          </w:rPr>
        </w:r>
        <w:r>
          <w:rPr>
            <w:rFonts w:eastAsia="黑体"/>
          </w:rPr>
          <w:fldChar w:fldCharType="separate"/>
        </w:r>
        <w:r>
          <w:rPr>
            <w:rFonts w:eastAsia="黑体"/>
          </w:rPr>
          <w:t>21</w:t>
        </w:r>
        <w:r>
          <w:rPr>
            <w:rFonts w:eastAsia="黑体"/>
          </w:rPr>
          <w:fldChar w:fldCharType="end"/>
        </w:r>
      </w:hyperlink>
    </w:p>
    <w:p w:rsidR="000F7FAD" w:rsidRDefault="00BB4424">
      <w:pPr>
        <w:pStyle w:val="TOC2"/>
        <w:tabs>
          <w:tab w:val="right" w:leader="dot" w:pos="8844"/>
        </w:tabs>
        <w:ind w:left="600"/>
        <w:rPr>
          <w:rFonts w:eastAsia="楷体_GB2312"/>
        </w:rPr>
      </w:pPr>
      <w:hyperlink w:anchor="_Toc11139" w:history="1">
        <w:r>
          <w:rPr>
            <w:rFonts w:eastAsia="楷体_GB2312"/>
          </w:rPr>
          <w:t>第一节</w:t>
        </w:r>
        <w:r>
          <w:rPr>
            <w:rFonts w:eastAsia="楷体_GB2312"/>
          </w:rPr>
          <w:t xml:space="preserve">  </w:t>
        </w:r>
        <w:r>
          <w:rPr>
            <w:rFonts w:eastAsia="楷体_GB2312"/>
          </w:rPr>
          <w:t>强化企业用工预警</w:t>
        </w:r>
        <w:r>
          <w:rPr>
            <w:rFonts w:eastAsia="楷体_GB2312"/>
          </w:rPr>
          <w:tab/>
        </w:r>
        <w:r>
          <w:rPr>
            <w:rFonts w:eastAsia="楷体_GB2312"/>
          </w:rPr>
          <w:fldChar w:fldCharType="begin"/>
        </w:r>
        <w:r>
          <w:rPr>
            <w:rFonts w:eastAsia="楷体_GB2312"/>
          </w:rPr>
          <w:instrText xml:space="preserve"> PAGEREF _</w:instrText>
        </w:r>
        <w:r>
          <w:rPr>
            <w:rFonts w:eastAsia="楷体_GB2312"/>
          </w:rPr>
          <w:instrText xml:space="preserve">Toc11139 \h </w:instrText>
        </w:r>
        <w:r>
          <w:rPr>
            <w:rFonts w:eastAsia="楷体_GB2312"/>
          </w:rPr>
        </w:r>
        <w:r>
          <w:rPr>
            <w:rFonts w:eastAsia="楷体_GB2312"/>
          </w:rPr>
          <w:fldChar w:fldCharType="separate"/>
        </w:r>
        <w:r>
          <w:rPr>
            <w:rFonts w:eastAsia="楷体_GB2312"/>
          </w:rPr>
          <w:t>22</w:t>
        </w:r>
        <w:r>
          <w:rPr>
            <w:rFonts w:eastAsia="楷体_GB2312"/>
          </w:rPr>
          <w:fldChar w:fldCharType="end"/>
        </w:r>
      </w:hyperlink>
    </w:p>
    <w:p w:rsidR="000F7FAD" w:rsidRDefault="00BB4424">
      <w:pPr>
        <w:pStyle w:val="TOC2"/>
        <w:tabs>
          <w:tab w:val="right" w:leader="dot" w:pos="8844"/>
        </w:tabs>
        <w:ind w:left="600"/>
        <w:rPr>
          <w:rFonts w:eastAsia="楷体_GB2312"/>
        </w:rPr>
      </w:pPr>
      <w:hyperlink w:anchor="_Toc25837" w:history="1">
        <w:r>
          <w:rPr>
            <w:rFonts w:eastAsia="楷体_GB2312"/>
          </w:rPr>
          <w:t>第二节</w:t>
        </w:r>
        <w:r>
          <w:rPr>
            <w:rFonts w:eastAsia="楷体_GB2312"/>
          </w:rPr>
          <w:t xml:space="preserve">  </w:t>
        </w:r>
        <w:r>
          <w:rPr>
            <w:rFonts w:eastAsia="楷体_GB2312"/>
          </w:rPr>
          <w:t>优化企业用工服务</w:t>
        </w:r>
        <w:r>
          <w:rPr>
            <w:rFonts w:eastAsia="楷体_GB2312"/>
          </w:rPr>
          <w:tab/>
        </w:r>
        <w:r>
          <w:rPr>
            <w:rFonts w:eastAsia="楷体_GB2312"/>
          </w:rPr>
          <w:fldChar w:fldCharType="begin"/>
        </w:r>
        <w:r>
          <w:rPr>
            <w:rFonts w:eastAsia="楷体_GB2312"/>
          </w:rPr>
          <w:instrText xml:space="preserve"> PAGEREF _Toc25837 \h </w:instrText>
        </w:r>
        <w:r>
          <w:rPr>
            <w:rFonts w:eastAsia="楷体_GB2312"/>
          </w:rPr>
        </w:r>
        <w:r>
          <w:rPr>
            <w:rFonts w:eastAsia="楷体_GB2312"/>
          </w:rPr>
          <w:fldChar w:fldCharType="separate"/>
        </w:r>
        <w:r>
          <w:rPr>
            <w:rFonts w:eastAsia="楷体_GB2312"/>
          </w:rPr>
          <w:t>22</w:t>
        </w:r>
        <w:r>
          <w:rPr>
            <w:rFonts w:eastAsia="楷体_GB2312"/>
          </w:rPr>
          <w:fldChar w:fldCharType="end"/>
        </w:r>
      </w:hyperlink>
    </w:p>
    <w:p w:rsidR="000F7FAD" w:rsidRDefault="00BB4424">
      <w:pPr>
        <w:pStyle w:val="TOC2"/>
        <w:tabs>
          <w:tab w:val="right" w:leader="dot" w:pos="8844"/>
        </w:tabs>
        <w:ind w:left="600"/>
        <w:rPr>
          <w:rFonts w:eastAsia="楷体_GB2312"/>
        </w:rPr>
      </w:pPr>
      <w:hyperlink w:anchor="_Toc436" w:history="1">
        <w:r>
          <w:rPr>
            <w:rFonts w:eastAsia="楷体_GB2312"/>
          </w:rPr>
          <w:t>第三节</w:t>
        </w:r>
        <w:r>
          <w:rPr>
            <w:rFonts w:eastAsia="楷体_GB2312"/>
          </w:rPr>
          <w:t xml:space="preserve">  </w:t>
        </w:r>
        <w:r>
          <w:rPr>
            <w:rFonts w:eastAsia="楷体_GB2312"/>
          </w:rPr>
          <w:t>提升企业用工效能</w:t>
        </w:r>
        <w:r>
          <w:rPr>
            <w:rFonts w:eastAsia="楷体_GB2312"/>
          </w:rPr>
          <w:tab/>
        </w:r>
        <w:r>
          <w:rPr>
            <w:rFonts w:eastAsia="楷体_GB2312"/>
          </w:rPr>
          <w:fldChar w:fldCharType="begin"/>
        </w:r>
        <w:r>
          <w:rPr>
            <w:rFonts w:eastAsia="楷体_GB2312"/>
          </w:rPr>
          <w:instrText xml:space="preserve"> PAGEREF</w:instrText>
        </w:r>
        <w:r>
          <w:rPr>
            <w:rFonts w:eastAsia="楷体_GB2312"/>
          </w:rPr>
          <w:instrText xml:space="preserve"> _Toc436 \h </w:instrText>
        </w:r>
        <w:r>
          <w:rPr>
            <w:rFonts w:eastAsia="楷体_GB2312"/>
          </w:rPr>
        </w:r>
        <w:r>
          <w:rPr>
            <w:rFonts w:eastAsia="楷体_GB2312"/>
          </w:rPr>
          <w:fldChar w:fldCharType="separate"/>
        </w:r>
        <w:r>
          <w:rPr>
            <w:rFonts w:eastAsia="楷体_GB2312"/>
          </w:rPr>
          <w:t>23</w:t>
        </w:r>
        <w:r>
          <w:rPr>
            <w:rFonts w:eastAsia="楷体_GB2312"/>
          </w:rPr>
          <w:fldChar w:fldCharType="end"/>
        </w:r>
      </w:hyperlink>
    </w:p>
    <w:p w:rsidR="000F7FAD" w:rsidRDefault="00BB4424">
      <w:pPr>
        <w:pStyle w:val="TOC1"/>
        <w:tabs>
          <w:tab w:val="right" w:leader="dot" w:pos="8844"/>
        </w:tabs>
        <w:rPr>
          <w:rFonts w:eastAsia="黑体"/>
        </w:rPr>
      </w:pPr>
      <w:hyperlink w:anchor="_Toc23356" w:history="1">
        <w:r>
          <w:rPr>
            <w:rFonts w:eastAsia="黑体"/>
          </w:rPr>
          <w:t>第五章</w:t>
        </w:r>
        <w:r>
          <w:rPr>
            <w:rFonts w:eastAsia="黑体"/>
          </w:rPr>
          <w:t xml:space="preserve">  </w:t>
        </w:r>
        <w:r>
          <w:rPr>
            <w:rFonts w:eastAsia="黑体"/>
          </w:rPr>
          <w:t>健全多层次社会保障体系</w:t>
        </w:r>
        <w:r>
          <w:rPr>
            <w:rFonts w:eastAsia="黑体"/>
          </w:rPr>
          <w:t xml:space="preserve">  </w:t>
        </w:r>
        <w:r>
          <w:rPr>
            <w:rFonts w:eastAsia="黑体"/>
          </w:rPr>
          <w:t>促进社会保障事业高质量可持续发展</w:t>
        </w:r>
        <w:r>
          <w:rPr>
            <w:rFonts w:eastAsia="黑体"/>
          </w:rPr>
          <w:tab/>
        </w:r>
        <w:r>
          <w:rPr>
            <w:rFonts w:eastAsia="黑体"/>
          </w:rPr>
          <w:fldChar w:fldCharType="begin"/>
        </w:r>
        <w:r>
          <w:rPr>
            <w:rFonts w:eastAsia="黑体"/>
          </w:rPr>
          <w:instrText xml:space="preserve"> PAGEREF _Toc23356 \h </w:instrText>
        </w:r>
        <w:r>
          <w:rPr>
            <w:rFonts w:eastAsia="黑体"/>
          </w:rPr>
        </w:r>
        <w:r>
          <w:rPr>
            <w:rFonts w:eastAsia="黑体"/>
          </w:rPr>
          <w:fldChar w:fldCharType="separate"/>
        </w:r>
        <w:r>
          <w:rPr>
            <w:rFonts w:eastAsia="黑体"/>
          </w:rPr>
          <w:t>24</w:t>
        </w:r>
        <w:r>
          <w:rPr>
            <w:rFonts w:eastAsia="黑体"/>
          </w:rPr>
          <w:fldChar w:fldCharType="end"/>
        </w:r>
      </w:hyperlink>
    </w:p>
    <w:p w:rsidR="000F7FAD" w:rsidRDefault="00BB4424">
      <w:pPr>
        <w:pStyle w:val="TOC2"/>
        <w:tabs>
          <w:tab w:val="right" w:leader="dot" w:pos="8844"/>
        </w:tabs>
        <w:ind w:left="600"/>
        <w:rPr>
          <w:rFonts w:eastAsia="楷体_GB2312"/>
        </w:rPr>
      </w:pPr>
      <w:hyperlink w:anchor="_Toc24122" w:history="1">
        <w:r>
          <w:rPr>
            <w:rFonts w:eastAsia="楷体_GB2312"/>
          </w:rPr>
          <w:t>第一</w:t>
        </w:r>
        <w:r>
          <w:rPr>
            <w:rFonts w:eastAsia="楷体_GB2312"/>
          </w:rPr>
          <w:t>节</w:t>
        </w:r>
        <w:r>
          <w:rPr>
            <w:rFonts w:eastAsia="楷体_GB2312"/>
          </w:rPr>
          <w:t xml:space="preserve">  </w:t>
        </w:r>
        <w:r>
          <w:rPr>
            <w:rFonts w:eastAsia="楷体_GB2312"/>
          </w:rPr>
          <w:t>完善社会保险体系</w:t>
        </w:r>
        <w:r>
          <w:rPr>
            <w:rFonts w:eastAsia="楷体_GB2312"/>
          </w:rPr>
          <w:tab/>
        </w:r>
        <w:r>
          <w:rPr>
            <w:rFonts w:eastAsia="楷体_GB2312"/>
          </w:rPr>
          <w:fldChar w:fldCharType="begin"/>
        </w:r>
        <w:r>
          <w:rPr>
            <w:rFonts w:eastAsia="楷体_GB2312"/>
          </w:rPr>
          <w:instrText xml:space="preserve"> PAGEREF _Toc24122 \h </w:instrText>
        </w:r>
        <w:r>
          <w:rPr>
            <w:rFonts w:eastAsia="楷体_GB2312"/>
          </w:rPr>
        </w:r>
        <w:r>
          <w:rPr>
            <w:rFonts w:eastAsia="楷体_GB2312"/>
          </w:rPr>
          <w:fldChar w:fldCharType="separate"/>
        </w:r>
        <w:r>
          <w:rPr>
            <w:rFonts w:eastAsia="楷体_GB2312"/>
          </w:rPr>
          <w:t>24</w:t>
        </w:r>
        <w:r>
          <w:rPr>
            <w:rFonts w:eastAsia="楷体_GB2312"/>
          </w:rPr>
          <w:fldChar w:fldCharType="end"/>
        </w:r>
      </w:hyperlink>
    </w:p>
    <w:p w:rsidR="000F7FAD" w:rsidRDefault="00BB4424">
      <w:pPr>
        <w:pStyle w:val="TOC2"/>
        <w:tabs>
          <w:tab w:val="right" w:leader="dot" w:pos="8844"/>
        </w:tabs>
        <w:ind w:left="600"/>
        <w:rPr>
          <w:rFonts w:eastAsia="楷体_GB2312"/>
        </w:rPr>
      </w:pPr>
      <w:hyperlink w:anchor="_Toc2286" w:history="1">
        <w:r>
          <w:rPr>
            <w:rFonts w:eastAsia="楷体_GB2312"/>
          </w:rPr>
          <w:t>第二节</w:t>
        </w:r>
        <w:r>
          <w:rPr>
            <w:rFonts w:eastAsia="楷体_GB2312"/>
          </w:rPr>
          <w:t xml:space="preserve">  </w:t>
        </w:r>
        <w:r>
          <w:rPr>
            <w:rFonts w:eastAsia="楷体_GB2312"/>
          </w:rPr>
          <w:t>提高社会保险服务能力</w:t>
        </w:r>
        <w:r>
          <w:rPr>
            <w:rFonts w:eastAsia="楷体_GB2312"/>
          </w:rPr>
          <w:tab/>
        </w:r>
        <w:r>
          <w:rPr>
            <w:rFonts w:eastAsia="楷体_GB2312"/>
          </w:rPr>
          <w:fldChar w:fldCharType="begin"/>
        </w:r>
        <w:r>
          <w:rPr>
            <w:rFonts w:eastAsia="楷体_GB2312"/>
          </w:rPr>
          <w:instrText xml:space="preserve"> PAGEREF _Toc2286 \h </w:instrText>
        </w:r>
        <w:r>
          <w:rPr>
            <w:rFonts w:eastAsia="楷体_GB2312"/>
          </w:rPr>
        </w:r>
        <w:r>
          <w:rPr>
            <w:rFonts w:eastAsia="楷体_GB2312"/>
          </w:rPr>
          <w:fldChar w:fldCharType="separate"/>
        </w:r>
        <w:r>
          <w:rPr>
            <w:rFonts w:eastAsia="楷体_GB2312"/>
          </w:rPr>
          <w:t>25</w:t>
        </w:r>
        <w:r>
          <w:rPr>
            <w:rFonts w:eastAsia="楷体_GB2312"/>
          </w:rPr>
          <w:fldChar w:fldCharType="end"/>
        </w:r>
      </w:hyperlink>
    </w:p>
    <w:p w:rsidR="000F7FAD" w:rsidRDefault="00BB4424">
      <w:pPr>
        <w:pStyle w:val="TOC2"/>
        <w:tabs>
          <w:tab w:val="right" w:leader="dot" w:pos="8844"/>
        </w:tabs>
        <w:ind w:left="600"/>
        <w:rPr>
          <w:rFonts w:eastAsia="楷体_GB2312"/>
        </w:rPr>
      </w:pPr>
      <w:hyperlink w:anchor="_Toc1656" w:history="1">
        <w:r>
          <w:rPr>
            <w:rFonts w:eastAsia="楷体_GB2312"/>
          </w:rPr>
          <w:t>第三节</w:t>
        </w:r>
        <w:r>
          <w:rPr>
            <w:rFonts w:eastAsia="楷体_GB2312"/>
          </w:rPr>
          <w:t xml:space="preserve">  </w:t>
        </w:r>
        <w:r>
          <w:rPr>
            <w:rFonts w:eastAsia="楷体_GB2312"/>
          </w:rPr>
          <w:t>打造以社保卡为载体的市民卡建立居民服务</w:t>
        </w:r>
        <w:r>
          <w:rPr>
            <w:rFonts w:eastAsia="楷体_GB2312" w:hint="eastAsia"/>
          </w:rPr>
          <w:t>“</w:t>
        </w:r>
        <w:r>
          <w:rPr>
            <w:rFonts w:eastAsia="楷体_GB2312"/>
          </w:rPr>
          <w:t>一卡通</w:t>
        </w:r>
        <w:r>
          <w:rPr>
            <w:rFonts w:eastAsia="楷体_GB2312" w:hint="eastAsia"/>
          </w:rPr>
          <w:t>”</w:t>
        </w:r>
        <w:r>
          <w:rPr>
            <w:rFonts w:eastAsia="楷体_GB2312"/>
          </w:rPr>
          <w:lastRenderedPageBreak/>
          <w:tab/>
        </w:r>
        <w:r>
          <w:rPr>
            <w:rFonts w:eastAsia="楷体_GB2312"/>
          </w:rPr>
          <w:fldChar w:fldCharType="begin"/>
        </w:r>
        <w:r>
          <w:rPr>
            <w:rFonts w:eastAsia="楷体_GB2312"/>
          </w:rPr>
          <w:instrText xml:space="preserve"> PAGEREF _Toc1656 \h </w:instrText>
        </w:r>
        <w:r>
          <w:rPr>
            <w:rFonts w:eastAsia="楷体_GB2312"/>
          </w:rPr>
        </w:r>
        <w:r>
          <w:rPr>
            <w:rFonts w:eastAsia="楷体_GB2312"/>
          </w:rPr>
          <w:fldChar w:fldCharType="separate"/>
        </w:r>
        <w:r>
          <w:rPr>
            <w:rFonts w:eastAsia="楷体_GB2312"/>
          </w:rPr>
          <w:t>26</w:t>
        </w:r>
        <w:r>
          <w:rPr>
            <w:rFonts w:eastAsia="楷体_GB2312"/>
          </w:rPr>
          <w:fldChar w:fldCharType="end"/>
        </w:r>
      </w:hyperlink>
    </w:p>
    <w:p w:rsidR="000F7FAD" w:rsidRDefault="00BB4424">
      <w:pPr>
        <w:pStyle w:val="TOC2"/>
        <w:tabs>
          <w:tab w:val="right" w:leader="dot" w:pos="8844"/>
        </w:tabs>
        <w:ind w:left="600"/>
        <w:rPr>
          <w:rFonts w:eastAsia="楷体_GB2312"/>
        </w:rPr>
      </w:pPr>
      <w:hyperlink w:anchor="_Toc2778" w:history="1">
        <w:r>
          <w:rPr>
            <w:rFonts w:eastAsia="楷体_GB2312"/>
          </w:rPr>
          <w:t>第四节</w:t>
        </w:r>
        <w:r>
          <w:rPr>
            <w:rFonts w:eastAsia="楷体_GB2312"/>
          </w:rPr>
          <w:t xml:space="preserve">  </w:t>
        </w:r>
        <w:r>
          <w:rPr>
            <w:rFonts w:eastAsia="楷体_GB2312"/>
          </w:rPr>
          <w:t>促进基金安全可持续运行</w:t>
        </w:r>
        <w:r>
          <w:rPr>
            <w:rFonts w:eastAsia="楷体_GB2312"/>
          </w:rPr>
          <w:tab/>
        </w:r>
        <w:r>
          <w:rPr>
            <w:rFonts w:eastAsia="楷体_GB2312"/>
          </w:rPr>
          <w:fldChar w:fldCharType="begin"/>
        </w:r>
        <w:r>
          <w:rPr>
            <w:rFonts w:eastAsia="楷体_GB2312"/>
          </w:rPr>
          <w:instrText xml:space="preserve"> PAGEREF _Toc2778 \h </w:instrText>
        </w:r>
        <w:r>
          <w:rPr>
            <w:rFonts w:eastAsia="楷体_GB2312"/>
          </w:rPr>
        </w:r>
        <w:r>
          <w:rPr>
            <w:rFonts w:eastAsia="楷体_GB2312"/>
          </w:rPr>
          <w:fldChar w:fldCharType="separate"/>
        </w:r>
        <w:r>
          <w:rPr>
            <w:rFonts w:eastAsia="楷体_GB2312"/>
          </w:rPr>
          <w:t>28</w:t>
        </w:r>
        <w:r>
          <w:rPr>
            <w:rFonts w:eastAsia="楷体_GB2312"/>
          </w:rPr>
          <w:fldChar w:fldCharType="end"/>
        </w:r>
      </w:hyperlink>
    </w:p>
    <w:p w:rsidR="000F7FAD" w:rsidRDefault="00BB4424">
      <w:pPr>
        <w:pStyle w:val="TOC1"/>
        <w:tabs>
          <w:tab w:val="right" w:leader="dot" w:pos="8844"/>
        </w:tabs>
        <w:rPr>
          <w:rFonts w:eastAsia="黑体"/>
        </w:rPr>
      </w:pPr>
      <w:hyperlink w:anchor="_Toc25825" w:history="1">
        <w:r>
          <w:rPr>
            <w:rFonts w:eastAsia="黑体"/>
          </w:rPr>
          <w:t>第六章</w:t>
        </w:r>
        <w:r>
          <w:rPr>
            <w:rFonts w:eastAsia="黑体"/>
          </w:rPr>
          <w:t xml:space="preserve">  </w:t>
        </w:r>
        <w:r>
          <w:rPr>
            <w:rFonts w:eastAsia="黑体"/>
          </w:rPr>
          <w:t>实施新一轮</w:t>
        </w:r>
        <w:r>
          <w:rPr>
            <w:rFonts w:eastAsia="黑体" w:hint="eastAsia"/>
          </w:rPr>
          <w:t>“</w:t>
        </w:r>
        <w:r>
          <w:rPr>
            <w:rFonts w:eastAsia="黑体"/>
          </w:rPr>
          <w:t>十百千万百万</w:t>
        </w:r>
        <w:r>
          <w:rPr>
            <w:rFonts w:eastAsia="黑体" w:hint="eastAsia"/>
          </w:rPr>
          <w:t>”</w:t>
        </w:r>
        <w:r>
          <w:rPr>
            <w:rFonts w:eastAsia="黑体"/>
          </w:rPr>
          <w:t>人才工程</w:t>
        </w:r>
        <w:r>
          <w:rPr>
            <w:rFonts w:eastAsia="黑体"/>
          </w:rPr>
          <w:t xml:space="preserve">  </w:t>
        </w:r>
        <w:r>
          <w:rPr>
            <w:rFonts w:eastAsia="黑体"/>
          </w:rPr>
          <w:t>打造大湾区人才集聚新高地</w:t>
        </w:r>
        <w:r>
          <w:rPr>
            <w:rFonts w:eastAsia="黑体"/>
          </w:rPr>
          <w:tab/>
        </w:r>
        <w:r>
          <w:rPr>
            <w:rFonts w:eastAsia="黑体"/>
          </w:rPr>
          <w:fldChar w:fldCharType="begin"/>
        </w:r>
        <w:r>
          <w:rPr>
            <w:rFonts w:eastAsia="黑体"/>
          </w:rPr>
          <w:instrText xml:space="preserve"> PAGEREF _Toc25825 \h </w:instrText>
        </w:r>
        <w:r>
          <w:rPr>
            <w:rFonts w:eastAsia="黑体"/>
          </w:rPr>
        </w:r>
        <w:r>
          <w:rPr>
            <w:rFonts w:eastAsia="黑体"/>
          </w:rPr>
          <w:fldChar w:fldCharType="separate"/>
        </w:r>
        <w:r>
          <w:rPr>
            <w:rFonts w:eastAsia="黑体"/>
          </w:rPr>
          <w:t>29</w:t>
        </w:r>
        <w:r>
          <w:rPr>
            <w:rFonts w:eastAsia="黑体"/>
          </w:rPr>
          <w:fldChar w:fldCharType="end"/>
        </w:r>
      </w:hyperlink>
    </w:p>
    <w:p w:rsidR="000F7FAD" w:rsidRDefault="00BB4424">
      <w:pPr>
        <w:pStyle w:val="TOC2"/>
        <w:tabs>
          <w:tab w:val="right" w:leader="dot" w:pos="8844"/>
        </w:tabs>
        <w:ind w:left="600"/>
        <w:rPr>
          <w:rFonts w:eastAsia="楷体_GB2312"/>
        </w:rPr>
      </w:pPr>
      <w:hyperlink w:anchor="_Toc18108" w:history="1">
        <w:r>
          <w:rPr>
            <w:rFonts w:eastAsia="楷体_GB2312"/>
          </w:rPr>
          <w:t>第一节</w:t>
        </w:r>
        <w:r>
          <w:rPr>
            <w:rFonts w:eastAsia="楷体_GB2312"/>
          </w:rPr>
          <w:t xml:space="preserve">  </w:t>
        </w:r>
        <w:r>
          <w:rPr>
            <w:rFonts w:eastAsia="楷体_GB2312"/>
          </w:rPr>
          <w:t>构建高水平人才发展体制</w:t>
        </w:r>
        <w:r>
          <w:rPr>
            <w:rFonts w:eastAsia="楷体_GB2312"/>
          </w:rPr>
          <w:tab/>
        </w:r>
        <w:r>
          <w:rPr>
            <w:rFonts w:eastAsia="楷体_GB2312"/>
          </w:rPr>
          <w:fldChar w:fldCharType="begin"/>
        </w:r>
        <w:r>
          <w:rPr>
            <w:rFonts w:eastAsia="楷体_GB2312"/>
          </w:rPr>
          <w:instrText xml:space="preserve"> PAGEREF _Toc18108 \h </w:instrText>
        </w:r>
        <w:r>
          <w:rPr>
            <w:rFonts w:eastAsia="楷体_GB2312"/>
          </w:rPr>
        </w:r>
        <w:r>
          <w:rPr>
            <w:rFonts w:eastAsia="楷体_GB2312"/>
          </w:rPr>
          <w:fldChar w:fldCharType="separate"/>
        </w:r>
        <w:r>
          <w:rPr>
            <w:rFonts w:eastAsia="楷体_GB2312"/>
          </w:rPr>
          <w:t>29</w:t>
        </w:r>
        <w:r>
          <w:rPr>
            <w:rFonts w:eastAsia="楷体_GB2312"/>
          </w:rPr>
          <w:fldChar w:fldCharType="end"/>
        </w:r>
      </w:hyperlink>
    </w:p>
    <w:p w:rsidR="000F7FAD" w:rsidRDefault="00BB4424">
      <w:pPr>
        <w:pStyle w:val="TOC2"/>
        <w:tabs>
          <w:tab w:val="right" w:leader="dot" w:pos="8844"/>
        </w:tabs>
        <w:ind w:left="600"/>
        <w:rPr>
          <w:rFonts w:eastAsia="楷体_GB2312"/>
        </w:rPr>
      </w:pPr>
      <w:hyperlink w:anchor="_Toc8458" w:history="1">
        <w:r>
          <w:rPr>
            <w:rFonts w:eastAsia="楷体_GB2312"/>
          </w:rPr>
          <w:t>第二节</w:t>
        </w:r>
        <w:r>
          <w:rPr>
            <w:rFonts w:eastAsia="楷体_GB2312"/>
          </w:rPr>
          <w:t xml:space="preserve">  </w:t>
        </w:r>
        <w:r>
          <w:rPr>
            <w:rFonts w:eastAsia="楷体_GB2312"/>
          </w:rPr>
          <w:t>建设高层次专业技术人才队伍</w:t>
        </w:r>
        <w:r>
          <w:rPr>
            <w:rFonts w:eastAsia="楷体_GB2312"/>
          </w:rPr>
          <w:tab/>
        </w:r>
        <w:r>
          <w:rPr>
            <w:rFonts w:eastAsia="楷体_GB2312"/>
          </w:rPr>
          <w:fldChar w:fldCharType="begin"/>
        </w:r>
        <w:r>
          <w:rPr>
            <w:rFonts w:eastAsia="楷体_GB2312"/>
          </w:rPr>
          <w:instrText xml:space="preserve"> PAGEREF _Toc8458 \h </w:instrText>
        </w:r>
        <w:r>
          <w:rPr>
            <w:rFonts w:eastAsia="楷体_GB2312"/>
          </w:rPr>
        </w:r>
        <w:r>
          <w:rPr>
            <w:rFonts w:eastAsia="楷体_GB2312"/>
          </w:rPr>
          <w:fldChar w:fldCharType="separate"/>
        </w:r>
        <w:r>
          <w:rPr>
            <w:rFonts w:eastAsia="楷体_GB2312"/>
          </w:rPr>
          <w:t>31</w:t>
        </w:r>
        <w:r>
          <w:rPr>
            <w:rFonts w:eastAsia="楷体_GB2312"/>
          </w:rPr>
          <w:fldChar w:fldCharType="end"/>
        </w:r>
      </w:hyperlink>
    </w:p>
    <w:p w:rsidR="000F7FAD" w:rsidRDefault="00BB4424">
      <w:pPr>
        <w:pStyle w:val="TOC2"/>
        <w:tabs>
          <w:tab w:val="right" w:leader="dot" w:pos="8844"/>
        </w:tabs>
        <w:ind w:left="600"/>
        <w:rPr>
          <w:rFonts w:eastAsia="楷体_GB2312"/>
        </w:rPr>
      </w:pPr>
      <w:hyperlink w:anchor="_Toc25457" w:history="1">
        <w:r>
          <w:rPr>
            <w:rFonts w:eastAsia="楷体_GB2312"/>
          </w:rPr>
          <w:t>第三节</w:t>
        </w:r>
        <w:r>
          <w:rPr>
            <w:rFonts w:eastAsia="楷体_GB2312"/>
          </w:rPr>
          <w:t xml:space="preserve">  </w:t>
        </w:r>
        <w:r>
          <w:rPr>
            <w:rFonts w:eastAsia="楷体_GB2312"/>
          </w:rPr>
          <w:t>提升人才综合服务能力</w:t>
        </w:r>
        <w:r>
          <w:rPr>
            <w:rFonts w:eastAsia="楷体_GB2312"/>
          </w:rPr>
          <w:tab/>
        </w:r>
        <w:r>
          <w:rPr>
            <w:rFonts w:eastAsia="楷体_GB2312"/>
          </w:rPr>
          <w:fldChar w:fldCharType="begin"/>
        </w:r>
        <w:r>
          <w:rPr>
            <w:rFonts w:eastAsia="楷体_GB2312"/>
          </w:rPr>
          <w:instrText xml:space="preserve"> PAGEREF _Toc25457 \h </w:instrText>
        </w:r>
        <w:r>
          <w:rPr>
            <w:rFonts w:eastAsia="楷体_GB2312"/>
          </w:rPr>
        </w:r>
        <w:r>
          <w:rPr>
            <w:rFonts w:eastAsia="楷体_GB2312"/>
          </w:rPr>
          <w:fldChar w:fldCharType="separate"/>
        </w:r>
        <w:r>
          <w:rPr>
            <w:rFonts w:eastAsia="楷体_GB2312"/>
          </w:rPr>
          <w:t>31</w:t>
        </w:r>
        <w:r>
          <w:rPr>
            <w:rFonts w:eastAsia="楷体_GB2312"/>
          </w:rPr>
          <w:fldChar w:fldCharType="end"/>
        </w:r>
      </w:hyperlink>
    </w:p>
    <w:p w:rsidR="000F7FAD" w:rsidRDefault="00BB4424">
      <w:pPr>
        <w:pStyle w:val="TOC2"/>
        <w:tabs>
          <w:tab w:val="right" w:leader="dot" w:pos="8844"/>
        </w:tabs>
        <w:ind w:left="600"/>
        <w:rPr>
          <w:rFonts w:eastAsia="楷体_GB2312"/>
        </w:rPr>
      </w:pPr>
      <w:hyperlink w:anchor="_Toc30071" w:history="1">
        <w:r>
          <w:rPr>
            <w:rFonts w:eastAsia="楷体_GB2312"/>
          </w:rPr>
          <w:t>第四节</w:t>
        </w:r>
        <w:r>
          <w:rPr>
            <w:rFonts w:eastAsia="楷体_GB2312"/>
          </w:rPr>
          <w:t xml:space="preserve">  </w:t>
        </w:r>
        <w:r>
          <w:rPr>
            <w:rFonts w:eastAsia="楷体_GB2312"/>
          </w:rPr>
          <w:t>深化事业单位人事制度改革</w:t>
        </w:r>
        <w:r>
          <w:rPr>
            <w:rFonts w:eastAsia="楷体_GB2312"/>
          </w:rPr>
          <w:tab/>
        </w:r>
        <w:r>
          <w:rPr>
            <w:rFonts w:eastAsia="楷体_GB2312"/>
          </w:rPr>
          <w:fldChar w:fldCharType="begin"/>
        </w:r>
        <w:r>
          <w:rPr>
            <w:rFonts w:eastAsia="楷体_GB2312"/>
          </w:rPr>
          <w:instrText xml:space="preserve"> PAGEREF _Toc30071 \h </w:instrText>
        </w:r>
        <w:r>
          <w:rPr>
            <w:rFonts w:eastAsia="楷体_GB2312"/>
          </w:rPr>
        </w:r>
        <w:r>
          <w:rPr>
            <w:rFonts w:eastAsia="楷体_GB2312"/>
          </w:rPr>
          <w:fldChar w:fldCharType="separate"/>
        </w:r>
        <w:r>
          <w:rPr>
            <w:rFonts w:eastAsia="楷体_GB2312"/>
          </w:rPr>
          <w:t>33</w:t>
        </w:r>
        <w:r>
          <w:rPr>
            <w:rFonts w:eastAsia="楷体_GB2312"/>
          </w:rPr>
          <w:fldChar w:fldCharType="end"/>
        </w:r>
      </w:hyperlink>
    </w:p>
    <w:p w:rsidR="000F7FAD" w:rsidRDefault="00BB4424">
      <w:pPr>
        <w:pStyle w:val="TOC1"/>
        <w:tabs>
          <w:tab w:val="right" w:leader="dot" w:pos="8844"/>
        </w:tabs>
        <w:rPr>
          <w:rFonts w:eastAsia="黑体"/>
        </w:rPr>
      </w:pPr>
      <w:hyperlink w:anchor="_Toc3106" w:history="1">
        <w:r>
          <w:rPr>
            <w:rFonts w:eastAsia="黑体"/>
          </w:rPr>
          <w:t>第七章</w:t>
        </w:r>
        <w:r>
          <w:rPr>
            <w:rFonts w:eastAsia="黑体"/>
          </w:rPr>
          <w:t xml:space="preserve">  </w:t>
        </w:r>
        <w:r>
          <w:rPr>
            <w:rFonts w:eastAsia="黑体"/>
            <w:spacing w:val="-10"/>
          </w:rPr>
          <w:t>深化</w:t>
        </w:r>
        <w:r>
          <w:rPr>
            <w:rFonts w:eastAsia="黑体" w:hint="eastAsia"/>
            <w:spacing w:val="-10"/>
          </w:rPr>
          <w:t>“</w:t>
        </w:r>
        <w:r>
          <w:rPr>
            <w:rFonts w:eastAsia="黑体"/>
            <w:spacing w:val="-10"/>
          </w:rPr>
          <w:t>技能人才之都</w:t>
        </w:r>
        <w:r>
          <w:rPr>
            <w:rFonts w:eastAsia="黑体" w:hint="eastAsia"/>
            <w:spacing w:val="-10"/>
          </w:rPr>
          <w:t>”</w:t>
        </w:r>
        <w:r>
          <w:rPr>
            <w:rFonts w:eastAsia="黑体"/>
            <w:spacing w:val="-10"/>
          </w:rPr>
          <w:t>建设</w:t>
        </w:r>
        <w:r>
          <w:rPr>
            <w:rFonts w:eastAsia="黑体"/>
            <w:spacing w:val="-10"/>
          </w:rPr>
          <w:t xml:space="preserve">  </w:t>
        </w:r>
        <w:r>
          <w:rPr>
            <w:rFonts w:eastAsia="黑体"/>
            <w:spacing w:val="-10"/>
          </w:rPr>
          <w:t>推动三项工程高质</w:t>
        </w:r>
        <w:r>
          <w:rPr>
            <w:rFonts w:eastAsia="黑体"/>
            <w:spacing w:val="-10"/>
          </w:rPr>
          <w:t>量发展</w:t>
        </w:r>
        <w:r>
          <w:rPr>
            <w:rFonts w:eastAsia="黑体"/>
          </w:rPr>
          <w:tab/>
        </w:r>
        <w:r>
          <w:rPr>
            <w:rFonts w:eastAsia="黑体"/>
          </w:rPr>
          <w:fldChar w:fldCharType="begin"/>
        </w:r>
        <w:r>
          <w:rPr>
            <w:rFonts w:eastAsia="黑体"/>
          </w:rPr>
          <w:instrText xml:space="preserve"> PAGEREF _Toc3106 \h </w:instrText>
        </w:r>
        <w:r>
          <w:rPr>
            <w:rFonts w:eastAsia="黑体"/>
          </w:rPr>
        </w:r>
        <w:r>
          <w:rPr>
            <w:rFonts w:eastAsia="黑体"/>
          </w:rPr>
          <w:fldChar w:fldCharType="separate"/>
        </w:r>
        <w:r>
          <w:rPr>
            <w:rFonts w:eastAsia="黑体"/>
          </w:rPr>
          <w:t>34</w:t>
        </w:r>
        <w:r>
          <w:rPr>
            <w:rFonts w:eastAsia="黑体"/>
          </w:rPr>
          <w:fldChar w:fldCharType="end"/>
        </w:r>
      </w:hyperlink>
    </w:p>
    <w:p w:rsidR="000F7FAD" w:rsidRDefault="00BB4424">
      <w:pPr>
        <w:pStyle w:val="TOC2"/>
        <w:tabs>
          <w:tab w:val="right" w:leader="dot" w:pos="8844"/>
        </w:tabs>
        <w:ind w:left="600"/>
        <w:rPr>
          <w:rFonts w:eastAsia="楷体_GB2312"/>
        </w:rPr>
      </w:pPr>
      <w:hyperlink w:anchor="_Toc6296" w:history="1">
        <w:r>
          <w:rPr>
            <w:rFonts w:eastAsia="楷体_GB2312"/>
          </w:rPr>
          <w:t>第一节</w:t>
        </w:r>
        <w:r>
          <w:rPr>
            <w:rFonts w:eastAsia="楷体_GB2312"/>
          </w:rPr>
          <w:t xml:space="preserve">  </w:t>
        </w:r>
        <w:r>
          <w:rPr>
            <w:rFonts w:eastAsia="楷体_GB2312"/>
          </w:rPr>
          <w:t>强化技能政策</w:t>
        </w:r>
        <w:r>
          <w:rPr>
            <w:rFonts w:eastAsia="楷体_GB2312"/>
          </w:rPr>
          <w:tab/>
        </w:r>
        <w:r>
          <w:rPr>
            <w:rFonts w:eastAsia="楷体_GB2312"/>
          </w:rPr>
          <w:fldChar w:fldCharType="begin"/>
        </w:r>
        <w:r>
          <w:rPr>
            <w:rFonts w:eastAsia="楷体_GB2312"/>
          </w:rPr>
          <w:instrText xml:space="preserve"> PAGEREF _Toc6296 \h </w:instrText>
        </w:r>
        <w:r>
          <w:rPr>
            <w:rFonts w:eastAsia="楷体_GB2312"/>
          </w:rPr>
        </w:r>
        <w:r>
          <w:rPr>
            <w:rFonts w:eastAsia="楷体_GB2312"/>
          </w:rPr>
          <w:fldChar w:fldCharType="separate"/>
        </w:r>
        <w:r>
          <w:rPr>
            <w:rFonts w:eastAsia="楷体_GB2312"/>
          </w:rPr>
          <w:t>34</w:t>
        </w:r>
        <w:r>
          <w:rPr>
            <w:rFonts w:eastAsia="楷体_GB2312"/>
          </w:rPr>
          <w:fldChar w:fldCharType="end"/>
        </w:r>
      </w:hyperlink>
    </w:p>
    <w:p w:rsidR="000F7FAD" w:rsidRDefault="00BB4424">
      <w:pPr>
        <w:pStyle w:val="TOC2"/>
        <w:tabs>
          <w:tab w:val="right" w:leader="dot" w:pos="8844"/>
        </w:tabs>
        <w:ind w:left="600"/>
        <w:rPr>
          <w:rFonts w:eastAsia="楷体_GB2312"/>
        </w:rPr>
      </w:pPr>
      <w:hyperlink w:anchor="_Toc7620" w:history="1">
        <w:r>
          <w:rPr>
            <w:rFonts w:eastAsia="楷体_GB2312"/>
          </w:rPr>
          <w:t>第二节</w:t>
        </w:r>
        <w:r>
          <w:rPr>
            <w:rFonts w:eastAsia="楷体_GB2312"/>
          </w:rPr>
          <w:t xml:space="preserve">  </w:t>
        </w:r>
        <w:r>
          <w:rPr>
            <w:rFonts w:eastAsia="楷体_GB2312"/>
          </w:rPr>
          <w:t>创新技能评价</w:t>
        </w:r>
        <w:r>
          <w:rPr>
            <w:rFonts w:eastAsia="楷体_GB2312"/>
          </w:rPr>
          <w:tab/>
        </w:r>
        <w:r>
          <w:rPr>
            <w:rFonts w:eastAsia="楷体_GB2312"/>
          </w:rPr>
          <w:fldChar w:fldCharType="begin"/>
        </w:r>
        <w:r>
          <w:rPr>
            <w:rFonts w:eastAsia="楷体_GB2312"/>
          </w:rPr>
          <w:instrText xml:space="preserve"> PAGEREF _Toc7620 \h </w:instrText>
        </w:r>
        <w:r>
          <w:rPr>
            <w:rFonts w:eastAsia="楷体_GB2312"/>
          </w:rPr>
        </w:r>
        <w:r>
          <w:rPr>
            <w:rFonts w:eastAsia="楷体_GB2312"/>
          </w:rPr>
          <w:fldChar w:fldCharType="separate"/>
        </w:r>
        <w:r>
          <w:rPr>
            <w:rFonts w:eastAsia="楷体_GB2312"/>
          </w:rPr>
          <w:t>35</w:t>
        </w:r>
        <w:r>
          <w:rPr>
            <w:rFonts w:eastAsia="楷体_GB2312"/>
          </w:rPr>
          <w:fldChar w:fldCharType="end"/>
        </w:r>
      </w:hyperlink>
    </w:p>
    <w:p w:rsidR="000F7FAD" w:rsidRDefault="00BB4424">
      <w:pPr>
        <w:pStyle w:val="TOC2"/>
        <w:tabs>
          <w:tab w:val="right" w:leader="dot" w:pos="8844"/>
        </w:tabs>
        <w:ind w:left="600"/>
        <w:rPr>
          <w:rFonts w:eastAsia="楷体_GB2312"/>
        </w:rPr>
      </w:pPr>
      <w:hyperlink w:anchor="_Toc31432" w:history="1">
        <w:r>
          <w:rPr>
            <w:rFonts w:eastAsia="楷体_GB2312"/>
          </w:rPr>
          <w:t>第三节</w:t>
        </w:r>
        <w:r>
          <w:rPr>
            <w:rFonts w:eastAsia="楷体_GB2312"/>
          </w:rPr>
          <w:t xml:space="preserve">  </w:t>
        </w:r>
        <w:r>
          <w:rPr>
            <w:rFonts w:eastAsia="楷体_GB2312"/>
          </w:rPr>
          <w:t>提高技能效能</w:t>
        </w:r>
        <w:r>
          <w:rPr>
            <w:rFonts w:eastAsia="楷体_GB2312"/>
          </w:rPr>
          <w:tab/>
        </w:r>
        <w:r>
          <w:rPr>
            <w:rFonts w:eastAsia="楷体_GB2312"/>
          </w:rPr>
          <w:fldChar w:fldCharType="begin"/>
        </w:r>
        <w:r>
          <w:rPr>
            <w:rFonts w:eastAsia="楷体_GB2312"/>
          </w:rPr>
          <w:instrText xml:space="preserve"> PAGEREF _Toc31432 \h </w:instrText>
        </w:r>
        <w:r>
          <w:rPr>
            <w:rFonts w:eastAsia="楷体_GB2312"/>
          </w:rPr>
        </w:r>
        <w:r>
          <w:rPr>
            <w:rFonts w:eastAsia="楷体_GB2312"/>
          </w:rPr>
          <w:fldChar w:fldCharType="separate"/>
        </w:r>
        <w:r>
          <w:rPr>
            <w:rFonts w:eastAsia="楷体_GB2312"/>
          </w:rPr>
          <w:t>36</w:t>
        </w:r>
        <w:r>
          <w:rPr>
            <w:rFonts w:eastAsia="楷体_GB2312"/>
          </w:rPr>
          <w:fldChar w:fldCharType="end"/>
        </w:r>
      </w:hyperlink>
    </w:p>
    <w:p w:rsidR="000F7FAD" w:rsidRDefault="00BB4424">
      <w:pPr>
        <w:pStyle w:val="TOC2"/>
        <w:tabs>
          <w:tab w:val="right" w:leader="dot" w:pos="8844"/>
        </w:tabs>
        <w:ind w:left="600"/>
        <w:rPr>
          <w:rFonts w:eastAsia="楷体_GB2312"/>
        </w:rPr>
      </w:pPr>
      <w:hyperlink w:anchor="_Toc6547" w:history="1">
        <w:r>
          <w:rPr>
            <w:rFonts w:eastAsia="楷体_GB2312"/>
          </w:rPr>
          <w:t>第四节</w:t>
        </w:r>
        <w:r>
          <w:rPr>
            <w:rFonts w:eastAsia="楷体_GB2312"/>
          </w:rPr>
          <w:t xml:space="preserve">  </w:t>
        </w:r>
        <w:r>
          <w:rPr>
            <w:rFonts w:eastAsia="楷体_GB2312"/>
          </w:rPr>
          <w:t>提升技工教育</w:t>
        </w:r>
        <w:r>
          <w:rPr>
            <w:rFonts w:eastAsia="楷体_GB2312"/>
          </w:rPr>
          <w:tab/>
        </w:r>
        <w:r>
          <w:rPr>
            <w:rFonts w:eastAsia="楷体_GB2312"/>
          </w:rPr>
          <w:fldChar w:fldCharType="begin"/>
        </w:r>
        <w:r>
          <w:rPr>
            <w:rFonts w:eastAsia="楷体_GB2312"/>
          </w:rPr>
          <w:instrText xml:space="preserve"> PAGEREF _Toc6547 \h </w:instrText>
        </w:r>
        <w:r>
          <w:rPr>
            <w:rFonts w:eastAsia="楷体_GB2312"/>
          </w:rPr>
        </w:r>
        <w:r>
          <w:rPr>
            <w:rFonts w:eastAsia="楷体_GB2312"/>
          </w:rPr>
          <w:fldChar w:fldCharType="separate"/>
        </w:r>
        <w:r>
          <w:rPr>
            <w:rFonts w:eastAsia="楷体_GB2312"/>
          </w:rPr>
          <w:t>37</w:t>
        </w:r>
        <w:r>
          <w:rPr>
            <w:rFonts w:eastAsia="楷体_GB2312"/>
          </w:rPr>
          <w:fldChar w:fldCharType="end"/>
        </w:r>
      </w:hyperlink>
    </w:p>
    <w:p w:rsidR="000F7FAD" w:rsidRDefault="00BB4424">
      <w:pPr>
        <w:pStyle w:val="TOC2"/>
        <w:tabs>
          <w:tab w:val="right" w:leader="dot" w:pos="8844"/>
        </w:tabs>
        <w:ind w:left="600"/>
        <w:rPr>
          <w:rFonts w:eastAsia="楷体_GB2312"/>
        </w:rPr>
      </w:pPr>
      <w:hyperlink w:anchor="_Toc26972" w:history="1">
        <w:r>
          <w:rPr>
            <w:rFonts w:eastAsia="楷体_GB2312"/>
          </w:rPr>
          <w:t>第五节</w:t>
        </w:r>
        <w:r>
          <w:rPr>
            <w:rFonts w:eastAsia="楷体_GB2312"/>
          </w:rPr>
          <w:t xml:space="preserve">  </w:t>
        </w:r>
        <w:r>
          <w:rPr>
            <w:rFonts w:eastAsia="楷体_GB2312"/>
          </w:rPr>
          <w:t>做大技能资源</w:t>
        </w:r>
        <w:r>
          <w:rPr>
            <w:rFonts w:eastAsia="楷体_GB2312"/>
          </w:rPr>
          <w:tab/>
        </w:r>
        <w:r>
          <w:rPr>
            <w:rFonts w:eastAsia="楷体_GB2312"/>
          </w:rPr>
          <w:fldChar w:fldCharType="begin"/>
        </w:r>
        <w:r>
          <w:rPr>
            <w:rFonts w:eastAsia="楷体_GB2312"/>
          </w:rPr>
          <w:instrText xml:space="preserve"> PAGEREF _Toc26972 \h </w:instrText>
        </w:r>
        <w:r>
          <w:rPr>
            <w:rFonts w:eastAsia="楷体_GB2312"/>
          </w:rPr>
        </w:r>
        <w:r>
          <w:rPr>
            <w:rFonts w:eastAsia="楷体_GB2312"/>
          </w:rPr>
          <w:fldChar w:fldCharType="separate"/>
        </w:r>
        <w:r>
          <w:rPr>
            <w:rFonts w:eastAsia="楷体_GB2312"/>
          </w:rPr>
          <w:t>39</w:t>
        </w:r>
        <w:r>
          <w:rPr>
            <w:rFonts w:eastAsia="楷体_GB2312"/>
          </w:rPr>
          <w:fldChar w:fldCharType="end"/>
        </w:r>
      </w:hyperlink>
    </w:p>
    <w:p w:rsidR="000F7FAD" w:rsidRDefault="00BB4424">
      <w:pPr>
        <w:pStyle w:val="TOC2"/>
        <w:tabs>
          <w:tab w:val="right" w:leader="dot" w:pos="8844"/>
        </w:tabs>
        <w:ind w:left="600"/>
        <w:rPr>
          <w:rFonts w:eastAsia="楷体_GB2312"/>
        </w:rPr>
      </w:pPr>
      <w:hyperlink w:anchor="_Toc19574" w:history="1">
        <w:r>
          <w:rPr>
            <w:rFonts w:eastAsia="楷体_GB2312"/>
          </w:rPr>
          <w:t>第六节</w:t>
        </w:r>
        <w:r>
          <w:rPr>
            <w:rFonts w:eastAsia="楷体_GB2312"/>
          </w:rPr>
          <w:t xml:space="preserve">  </w:t>
        </w:r>
        <w:r>
          <w:rPr>
            <w:rFonts w:eastAsia="楷体_GB2312"/>
          </w:rPr>
          <w:t>建设技能城市</w:t>
        </w:r>
        <w:r>
          <w:rPr>
            <w:rFonts w:eastAsia="楷体_GB2312"/>
          </w:rPr>
          <w:tab/>
        </w:r>
        <w:r>
          <w:rPr>
            <w:rFonts w:eastAsia="楷体_GB2312"/>
          </w:rPr>
          <w:fldChar w:fldCharType="begin"/>
        </w:r>
        <w:r>
          <w:rPr>
            <w:rFonts w:eastAsia="楷体_GB2312"/>
          </w:rPr>
          <w:instrText xml:space="preserve"> PAGEREF _Toc19574 \h </w:instrText>
        </w:r>
        <w:r>
          <w:rPr>
            <w:rFonts w:eastAsia="楷体_GB2312"/>
          </w:rPr>
        </w:r>
        <w:r>
          <w:rPr>
            <w:rFonts w:eastAsia="楷体_GB2312"/>
          </w:rPr>
          <w:fldChar w:fldCharType="separate"/>
        </w:r>
        <w:r>
          <w:rPr>
            <w:rFonts w:eastAsia="楷体_GB2312"/>
          </w:rPr>
          <w:t>41</w:t>
        </w:r>
        <w:r>
          <w:rPr>
            <w:rFonts w:eastAsia="楷体_GB2312"/>
          </w:rPr>
          <w:fldChar w:fldCharType="end"/>
        </w:r>
      </w:hyperlink>
    </w:p>
    <w:p w:rsidR="000F7FAD" w:rsidRDefault="00BB4424">
      <w:pPr>
        <w:pStyle w:val="TOC1"/>
        <w:tabs>
          <w:tab w:val="right" w:leader="dot" w:pos="8844"/>
        </w:tabs>
        <w:rPr>
          <w:rFonts w:eastAsia="黑体"/>
        </w:rPr>
      </w:pPr>
      <w:hyperlink w:anchor="_Toc26362" w:history="1">
        <w:r>
          <w:rPr>
            <w:rFonts w:eastAsia="黑体"/>
          </w:rPr>
          <w:t>第八章</w:t>
        </w:r>
        <w:r>
          <w:rPr>
            <w:rFonts w:eastAsia="黑体"/>
          </w:rPr>
          <w:t xml:space="preserve">  </w:t>
        </w:r>
        <w:r>
          <w:rPr>
            <w:rFonts w:eastAsia="黑体"/>
            <w:spacing w:val="-10"/>
          </w:rPr>
          <w:t>服务实体经济发展</w:t>
        </w:r>
        <w:r>
          <w:rPr>
            <w:rFonts w:eastAsia="黑体"/>
            <w:spacing w:val="-10"/>
          </w:rPr>
          <w:t xml:space="preserve">  </w:t>
        </w:r>
        <w:r>
          <w:rPr>
            <w:rFonts w:eastAsia="黑体"/>
            <w:spacing w:val="-10"/>
          </w:rPr>
          <w:t>推进人力资源服务业高质量发展</w:t>
        </w:r>
        <w:r>
          <w:rPr>
            <w:rFonts w:eastAsia="黑体"/>
          </w:rPr>
          <w:tab/>
        </w:r>
        <w:r>
          <w:rPr>
            <w:rFonts w:eastAsia="黑体"/>
          </w:rPr>
          <w:fldChar w:fldCharType="begin"/>
        </w:r>
        <w:r>
          <w:rPr>
            <w:rFonts w:eastAsia="黑体"/>
          </w:rPr>
          <w:instrText xml:space="preserve"> PAGEREF _Toc26362 \h </w:instrText>
        </w:r>
        <w:r>
          <w:rPr>
            <w:rFonts w:eastAsia="黑体"/>
          </w:rPr>
        </w:r>
        <w:r>
          <w:rPr>
            <w:rFonts w:eastAsia="黑体"/>
          </w:rPr>
          <w:fldChar w:fldCharType="separate"/>
        </w:r>
        <w:r>
          <w:rPr>
            <w:rFonts w:eastAsia="黑体"/>
          </w:rPr>
          <w:t>41</w:t>
        </w:r>
        <w:r>
          <w:rPr>
            <w:rFonts w:eastAsia="黑体"/>
          </w:rPr>
          <w:fldChar w:fldCharType="end"/>
        </w:r>
      </w:hyperlink>
    </w:p>
    <w:p w:rsidR="000F7FAD" w:rsidRDefault="00BB4424">
      <w:pPr>
        <w:pStyle w:val="TOC2"/>
        <w:tabs>
          <w:tab w:val="right" w:leader="dot" w:pos="8844"/>
        </w:tabs>
        <w:ind w:left="600"/>
        <w:rPr>
          <w:rFonts w:eastAsia="楷体_GB2312"/>
        </w:rPr>
      </w:pPr>
      <w:hyperlink w:anchor="_Toc23147" w:history="1">
        <w:r>
          <w:rPr>
            <w:rFonts w:eastAsia="楷体_GB2312"/>
          </w:rPr>
          <w:t>第一节</w:t>
        </w:r>
        <w:r>
          <w:rPr>
            <w:rFonts w:eastAsia="楷体_GB2312"/>
          </w:rPr>
          <w:t xml:space="preserve">  </w:t>
        </w:r>
        <w:r>
          <w:rPr>
            <w:rFonts w:eastAsia="楷体_GB2312"/>
          </w:rPr>
          <w:t>健全人力资源服务行业发展机制</w:t>
        </w:r>
        <w:r>
          <w:rPr>
            <w:rFonts w:eastAsia="楷体_GB2312"/>
          </w:rPr>
          <w:tab/>
        </w:r>
        <w:r>
          <w:rPr>
            <w:rFonts w:eastAsia="楷体_GB2312"/>
          </w:rPr>
          <w:fldChar w:fldCharType="begin"/>
        </w:r>
        <w:r>
          <w:rPr>
            <w:rFonts w:eastAsia="楷体_GB2312"/>
          </w:rPr>
          <w:instrText xml:space="preserve"> PAGEREF _Toc23147 \h </w:instrText>
        </w:r>
        <w:r>
          <w:rPr>
            <w:rFonts w:eastAsia="楷体_GB2312"/>
          </w:rPr>
        </w:r>
        <w:r>
          <w:rPr>
            <w:rFonts w:eastAsia="楷体_GB2312"/>
          </w:rPr>
          <w:fldChar w:fldCharType="separate"/>
        </w:r>
        <w:r>
          <w:rPr>
            <w:rFonts w:eastAsia="楷体_GB2312"/>
          </w:rPr>
          <w:t>42</w:t>
        </w:r>
        <w:r>
          <w:rPr>
            <w:rFonts w:eastAsia="楷体_GB2312"/>
          </w:rPr>
          <w:fldChar w:fldCharType="end"/>
        </w:r>
      </w:hyperlink>
    </w:p>
    <w:p w:rsidR="000F7FAD" w:rsidRDefault="00BB4424">
      <w:pPr>
        <w:pStyle w:val="TOC2"/>
        <w:tabs>
          <w:tab w:val="right" w:leader="dot" w:pos="8844"/>
        </w:tabs>
        <w:ind w:left="600"/>
        <w:rPr>
          <w:rFonts w:eastAsia="楷体_GB2312"/>
        </w:rPr>
      </w:pPr>
      <w:hyperlink w:anchor="_Toc19406" w:history="1">
        <w:r>
          <w:rPr>
            <w:rFonts w:eastAsia="楷体_GB2312"/>
          </w:rPr>
          <w:t>第二节</w:t>
        </w:r>
        <w:r>
          <w:rPr>
            <w:rFonts w:eastAsia="楷体_GB2312"/>
          </w:rPr>
          <w:t xml:space="preserve">  </w:t>
        </w:r>
        <w:r>
          <w:rPr>
            <w:rFonts w:eastAsia="楷体_GB2312"/>
          </w:rPr>
          <w:t>提升人力资源服务效能</w:t>
        </w:r>
        <w:r>
          <w:rPr>
            <w:rFonts w:eastAsia="楷体_GB2312"/>
          </w:rPr>
          <w:tab/>
        </w:r>
        <w:r>
          <w:rPr>
            <w:rFonts w:eastAsia="楷体_GB2312"/>
          </w:rPr>
          <w:fldChar w:fldCharType="begin"/>
        </w:r>
        <w:r>
          <w:rPr>
            <w:rFonts w:eastAsia="楷体_GB2312"/>
          </w:rPr>
          <w:instrText xml:space="preserve"> PAGEREF _Toc19406 \h </w:instrText>
        </w:r>
        <w:r>
          <w:rPr>
            <w:rFonts w:eastAsia="楷体_GB2312"/>
          </w:rPr>
        </w:r>
        <w:r>
          <w:rPr>
            <w:rFonts w:eastAsia="楷体_GB2312"/>
          </w:rPr>
          <w:fldChar w:fldCharType="separate"/>
        </w:r>
        <w:r>
          <w:rPr>
            <w:rFonts w:eastAsia="楷体_GB2312"/>
          </w:rPr>
          <w:t>43</w:t>
        </w:r>
        <w:r>
          <w:rPr>
            <w:rFonts w:eastAsia="楷体_GB2312"/>
          </w:rPr>
          <w:fldChar w:fldCharType="end"/>
        </w:r>
      </w:hyperlink>
    </w:p>
    <w:p w:rsidR="000F7FAD" w:rsidRDefault="00BB4424">
      <w:pPr>
        <w:pStyle w:val="TOC1"/>
        <w:tabs>
          <w:tab w:val="right" w:leader="dot" w:pos="8844"/>
        </w:tabs>
        <w:rPr>
          <w:rFonts w:eastAsia="黑体"/>
        </w:rPr>
      </w:pPr>
      <w:hyperlink w:anchor="_Toc5743" w:history="1">
        <w:r>
          <w:rPr>
            <w:rFonts w:eastAsia="黑体"/>
          </w:rPr>
          <w:t>第九章</w:t>
        </w:r>
        <w:r>
          <w:rPr>
            <w:rFonts w:eastAsia="黑体"/>
          </w:rPr>
          <w:t xml:space="preserve">  </w:t>
        </w:r>
        <w:r>
          <w:rPr>
            <w:rFonts w:eastAsia="黑体"/>
          </w:rPr>
          <w:t>健全劳动关系协调机制</w:t>
        </w:r>
        <w:r>
          <w:rPr>
            <w:rFonts w:eastAsia="黑体"/>
          </w:rPr>
          <w:t xml:space="preserve"> </w:t>
        </w:r>
        <w:r>
          <w:rPr>
            <w:rFonts w:eastAsia="黑体"/>
            <w:spacing w:val="-10"/>
          </w:rPr>
          <w:t>构建新型和谐劳动关系</w:t>
        </w:r>
        <w:r>
          <w:rPr>
            <w:rFonts w:eastAsia="黑体"/>
          </w:rPr>
          <w:tab/>
        </w:r>
        <w:r>
          <w:rPr>
            <w:rFonts w:eastAsia="黑体"/>
          </w:rPr>
          <w:fldChar w:fldCharType="begin"/>
        </w:r>
        <w:r>
          <w:rPr>
            <w:rFonts w:eastAsia="黑体"/>
          </w:rPr>
          <w:instrText xml:space="preserve"> PAGEREF _Toc5743 \h </w:instrText>
        </w:r>
        <w:r>
          <w:rPr>
            <w:rFonts w:eastAsia="黑体"/>
          </w:rPr>
        </w:r>
        <w:r>
          <w:rPr>
            <w:rFonts w:eastAsia="黑体"/>
          </w:rPr>
          <w:fldChar w:fldCharType="separate"/>
        </w:r>
        <w:r>
          <w:rPr>
            <w:rFonts w:eastAsia="黑体"/>
          </w:rPr>
          <w:t>44</w:t>
        </w:r>
        <w:r>
          <w:rPr>
            <w:rFonts w:eastAsia="黑体"/>
          </w:rPr>
          <w:fldChar w:fldCharType="end"/>
        </w:r>
      </w:hyperlink>
    </w:p>
    <w:p w:rsidR="000F7FAD" w:rsidRDefault="00BB4424">
      <w:pPr>
        <w:pStyle w:val="TOC2"/>
        <w:tabs>
          <w:tab w:val="right" w:leader="dot" w:pos="8844"/>
        </w:tabs>
        <w:ind w:left="600"/>
        <w:rPr>
          <w:rFonts w:eastAsia="楷体_GB2312"/>
        </w:rPr>
      </w:pPr>
      <w:hyperlink w:anchor="_Toc5218" w:history="1">
        <w:r>
          <w:rPr>
            <w:rFonts w:eastAsia="楷体_GB2312"/>
          </w:rPr>
          <w:t>第一节</w:t>
        </w:r>
        <w:r>
          <w:rPr>
            <w:rFonts w:eastAsia="楷体_GB2312"/>
          </w:rPr>
          <w:t xml:space="preserve">  </w:t>
        </w:r>
        <w:r>
          <w:rPr>
            <w:rFonts w:eastAsia="楷体_GB2312"/>
          </w:rPr>
          <w:t>加强劳动关系协调能力建设</w:t>
        </w:r>
        <w:r>
          <w:rPr>
            <w:rFonts w:eastAsia="楷体_GB2312"/>
          </w:rPr>
          <w:tab/>
        </w:r>
        <w:r>
          <w:rPr>
            <w:rFonts w:eastAsia="楷体_GB2312"/>
          </w:rPr>
          <w:fldChar w:fldCharType="begin"/>
        </w:r>
        <w:r>
          <w:rPr>
            <w:rFonts w:eastAsia="楷体_GB2312"/>
          </w:rPr>
          <w:instrText xml:space="preserve"> PAGEREF _To</w:instrText>
        </w:r>
        <w:r>
          <w:rPr>
            <w:rFonts w:eastAsia="楷体_GB2312"/>
          </w:rPr>
          <w:instrText xml:space="preserve">c5218 \h </w:instrText>
        </w:r>
        <w:r>
          <w:rPr>
            <w:rFonts w:eastAsia="楷体_GB2312"/>
          </w:rPr>
        </w:r>
        <w:r>
          <w:rPr>
            <w:rFonts w:eastAsia="楷体_GB2312"/>
          </w:rPr>
          <w:fldChar w:fldCharType="separate"/>
        </w:r>
        <w:r>
          <w:rPr>
            <w:rFonts w:eastAsia="楷体_GB2312"/>
          </w:rPr>
          <w:t>44</w:t>
        </w:r>
        <w:r>
          <w:rPr>
            <w:rFonts w:eastAsia="楷体_GB2312"/>
          </w:rPr>
          <w:fldChar w:fldCharType="end"/>
        </w:r>
      </w:hyperlink>
    </w:p>
    <w:p w:rsidR="000F7FAD" w:rsidRDefault="00BB4424">
      <w:pPr>
        <w:pStyle w:val="TOC2"/>
        <w:tabs>
          <w:tab w:val="right" w:leader="dot" w:pos="8844"/>
        </w:tabs>
        <w:ind w:left="600"/>
        <w:rPr>
          <w:rFonts w:eastAsia="楷体_GB2312"/>
        </w:rPr>
      </w:pPr>
      <w:hyperlink w:anchor="_Toc4728" w:history="1">
        <w:r>
          <w:rPr>
            <w:rFonts w:eastAsia="楷体_GB2312"/>
          </w:rPr>
          <w:t>第二节</w:t>
        </w:r>
        <w:r>
          <w:rPr>
            <w:rFonts w:eastAsia="楷体_GB2312"/>
          </w:rPr>
          <w:t xml:space="preserve">  </w:t>
        </w:r>
        <w:r>
          <w:rPr>
            <w:rFonts w:eastAsia="楷体_GB2312"/>
          </w:rPr>
          <w:t>加强劳动人事争议调解仲裁能力建设</w:t>
        </w:r>
        <w:r>
          <w:rPr>
            <w:rFonts w:eastAsia="楷体_GB2312"/>
          </w:rPr>
          <w:tab/>
        </w:r>
        <w:r>
          <w:rPr>
            <w:rFonts w:eastAsia="楷体_GB2312"/>
          </w:rPr>
          <w:fldChar w:fldCharType="begin"/>
        </w:r>
        <w:r>
          <w:rPr>
            <w:rFonts w:eastAsia="楷体_GB2312"/>
          </w:rPr>
          <w:instrText xml:space="preserve"> PAGEREF _Toc4728 \h </w:instrText>
        </w:r>
        <w:r>
          <w:rPr>
            <w:rFonts w:eastAsia="楷体_GB2312"/>
          </w:rPr>
        </w:r>
        <w:r>
          <w:rPr>
            <w:rFonts w:eastAsia="楷体_GB2312"/>
          </w:rPr>
          <w:fldChar w:fldCharType="separate"/>
        </w:r>
        <w:r>
          <w:rPr>
            <w:rFonts w:eastAsia="楷体_GB2312"/>
          </w:rPr>
          <w:t>47</w:t>
        </w:r>
        <w:r>
          <w:rPr>
            <w:rFonts w:eastAsia="楷体_GB2312"/>
          </w:rPr>
          <w:fldChar w:fldCharType="end"/>
        </w:r>
      </w:hyperlink>
    </w:p>
    <w:p w:rsidR="000F7FAD" w:rsidRDefault="00BB4424">
      <w:pPr>
        <w:pStyle w:val="TOC2"/>
        <w:tabs>
          <w:tab w:val="right" w:leader="dot" w:pos="8844"/>
        </w:tabs>
        <w:ind w:left="600"/>
        <w:rPr>
          <w:rFonts w:eastAsia="楷体_GB2312"/>
        </w:rPr>
      </w:pPr>
      <w:hyperlink w:anchor="_Toc15384" w:history="1">
        <w:r>
          <w:rPr>
            <w:rFonts w:eastAsia="楷体_GB2312"/>
          </w:rPr>
          <w:t>第三节</w:t>
        </w:r>
        <w:r>
          <w:rPr>
            <w:rFonts w:eastAsia="楷体_GB2312"/>
          </w:rPr>
          <w:t xml:space="preserve">  </w:t>
        </w:r>
        <w:r>
          <w:rPr>
            <w:rFonts w:eastAsia="楷体_GB2312"/>
          </w:rPr>
          <w:t>加强劳动保障监察治理能力建设</w:t>
        </w:r>
        <w:r>
          <w:rPr>
            <w:rFonts w:eastAsia="楷体_GB2312"/>
          </w:rPr>
          <w:tab/>
        </w:r>
        <w:r>
          <w:rPr>
            <w:rFonts w:eastAsia="楷体_GB2312"/>
          </w:rPr>
          <w:fldChar w:fldCharType="begin"/>
        </w:r>
        <w:r>
          <w:rPr>
            <w:rFonts w:eastAsia="楷体_GB2312"/>
          </w:rPr>
          <w:instrText xml:space="preserve"> </w:instrText>
        </w:r>
        <w:r>
          <w:rPr>
            <w:rFonts w:eastAsia="楷体_GB2312"/>
          </w:rPr>
          <w:instrText xml:space="preserve">PAGEREF _Toc15384 \h </w:instrText>
        </w:r>
        <w:r>
          <w:rPr>
            <w:rFonts w:eastAsia="楷体_GB2312"/>
          </w:rPr>
        </w:r>
        <w:r>
          <w:rPr>
            <w:rFonts w:eastAsia="楷体_GB2312"/>
          </w:rPr>
          <w:fldChar w:fldCharType="separate"/>
        </w:r>
        <w:r>
          <w:rPr>
            <w:rFonts w:eastAsia="楷体_GB2312"/>
          </w:rPr>
          <w:t>48</w:t>
        </w:r>
        <w:r>
          <w:rPr>
            <w:rFonts w:eastAsia="楷体_GB2312"/>
          </w:rPr>
          <w:fldChar w:fldCharType="end"/>
        </w:r>
      </w:hyperlink>
    </w:p>
    <w:p w:rsidR="000F7FAD" w:rsidRDefault="00BB4424">
      <w:pPr>
        <w:pStyle w:val="TOC1"/>
        <w:tabs>
          <w:tab w:val="right" w:leader="dot" w:pos="8844"/>
        </w:tabs>
        <w:rPr>
          <w:rFonts w:eastAsia="黑体"/>
        </w:rPr>
      </w:pPr>
      <w:hyperlink w:anchor="_Toc28801" w:history="1">
        <w:r>
          <w:rPr>
            <w:rFonts w:eastAsia="黑体"/>
          </w:rPr>
          <w:t>第十章</w:t>
        </w:r>
        <w:r>
          <w:rPr>
            <w:rFonts w:eastAsia="黑体"/>
          </w:rPr>
          <w:t xml:space="preserve">  </w:t>
        </w:r>
        <w:r>
          <w:rPr>
            <w:rFonts w:eastAsia="黑体"/>
            <w:spacing w:val="-10"/>
          </w:rPr>
          <w:t>推动智慧人社建设</w:t>
        </w:r>
        <w:r>
          <w:rPr>
            <w:rFonts w:eastAsia="黑体"/>
            <w:spacing w:val="-10"/>
          </w:rPr>
          <w:t xml:space="preserve">  </w:t>
        </w:r>
        <w:r>
          <w:rPr>
            <w:rFonts w:eastAsia="黑体"/>
            <w:spacing w:val="-10"/>
          </w:rPr>
          <w:t>全方位提升公共服务质量</w:t>
        </w:r>
        <w:r>
          <w:rPr>
            <w:rFonts w:eastAsia="黑体"/>
          </w:rPr>
          <w:tab/>
        </w:r>
        <w:r>
          <w:rPr>
            <w:rFonts w:eastAsia="黑体"/>
          </w:rPr>
          <w:fldChar w:fldCharType="begin"/>
        </w:r>
        <w:r>
          <w:rPr>
            <w:rFonts w:eastAsia="黑体"/>
          </w:rPr>
          <w:instrText xml:space="preserve"> PAGEREF _Toc28801 \h </w:instrText>
        </w:r>
        <w:r>
          <w:rPr>
            <w:rFonts w:eastAsia="黑体"/>
          </w:rPr>
        </w:r>
        <w:r>
          <w:rPr>
            <w:rFonts w:eastAsia="黑体"/>
          </w:rPr>
          <w:fldChar w:fldCharType="separate"/>
        </w:r>
        <w:r>
          <w:rPr>
            <w:rFonts w:eastAsia="黑体"/>
          </w:rPr>
          <w:t>49</w:t>
        </w:r>
        <w:r>
          <w:rPr>
            <w:rFonts w:eastAsia="黑体"/>
          </w:rPr>
          <w:fldChar w:fldCharType="end"/>
        </w:r>
      </w:hyperlink>
    </w:p>
    <w:p w:rsidR="000F7FAD" w:rsidRDefault="00BB4424">
      <w:pPr>
        <w:pStyle w:val="TOC2"/>
        <w:tabs>
          <w:tab w:val="right" w:leader="dot" w:pos="8844"/>
        </w:tabs>
        <w:ind w:left="600"/>
        <w:rPr>
          <w:rFonts w:eastAsia="楷体_GB2312"/>
        </w:rPr>
      </w:pPr>
      <w:hyperlink w:anchor="_Toc1209" w:history="1">
        <w:r>
          <w:rPr>
            <w:rFonts w:eastAsia="楷体_GB2312"/>
          </w:rPr>
          <w:t>第</w:t>
        </w:r>
        <w:r>
          <w:rPr>
            <w:rFonts w:eastAsia="楷体_GB2312"/>
          </w:rPr>
          <w:t>一节</w:t>
        </w:r>
        <w:r>
          <w:rPr>
            <w:rFonts w:eastAsia="楷体_GB2312"/>
          </w:rPr>
          <w:t xml:space="preserve">  </w:t>
        </w:r>
        <w:r>
          <w:rPr>
            <w:rFonts w:eastAsia="楷体_GB2312"/>
          </w:rPr>
          <w:t>提升便民服务效能</w:t>
        </w:r>
        <w:r>
          <w:rPr>
            <w:rFonts w:eastAsia="楷体_GB2312"/>
          </w:rPr>
          <w:tab/>
        </w:r>
        <w:r>
          <w:rPr>
            <w:rFonts w:eastAsia="楷体_GB2312"/>
          </w:rPr>
          <w:fldChar w:fldCharType="begin"/>
        </w:r>
        <w:r>
          <w:rPr>
            <w:rFonts w:eastAsia="楷体_GB2312"/>
          </w:rPr>
          <w:instrText xml:space="preserve"> PAGEREF _Toc1209 \h </w:instrText>
        </w:r>
        <w:r>
          <w:rPr>
            <w:rFonts w:eastAsia="楷体_GB2312"/>
          </w:rPr>
        </w:r>
        <w:r>
          <w:rPr>
            <w:rFonts w:eastAsia="楷体_GB2312"/>
          </w:rPr>
          <w:fldChar w:fldCharType="separate"/>
        </w:r>
        <w:r>
          <w:rPr>
            <w:rFonts w:eastAsia="楷体_GB2312"/>
          </w:rPr>
          <w:t>50</w:t>
        </w:r>
        <w:r>
          <w:rPr>
            <w:rFonts w:eastAsia="楷体_GB2312"/>
          </w:rPr>
          <w:fldChar w:fldCharType="end"/>
        </w:r>
      </w:hyperlink>
    </w:p>
    <w:p w:rsidR="000F7FAD" w:rsidRDefault="00BB4424">
      <w:pPr>
        <w:pStyle w:val="TOC2"/>
        <w:tabs>
          <w:tab w:val="right" w:leader="dot" w:pos="8844"/>
        </w:tabs>
        <w:ind w:left="600"/>
        <w:rPr>
          <w:rFonts w:eastAsia="楷体_GB2312"/>
        </w:rPr>
      </w:pPr>
      <w:hyperlink w:anchor="_Toc5578" w:history="1">
        <w:r>
          <w:rPr>
            <w:rFonts w:eastAsia="楷体_GB2312"/>
          </w:rPr>
          <w:t>第二节</w:t>
        </w:r>
        <w:r>
          <w:rPr>
            <w:rFonts w:eastAsia="楷体_GB2312"/>
          </w:rPr>
          <w:t xml:space="preserve">  </w:t>
        </w:r>
        <w:r>
          <w:rPr>
            <w:rFonts w:eastAsia="楷体_GB2312"/>
          </w:rPr>
          <w:t>提升智能服务效能</w:t>
        </w:r>
        <w:r>
          <w:rPr>
            <w:rFonts w:eastAsia="楷体_GB2312"/>
          </w:rPr>
          <w:tab/>
        </w:r>
        <w:r>
          <w:rPr>
            <w:rFonts w:eastAsia="楷体_GB2312"/>
          </w:rPr>
          <w:fldChar w:fldCharType="begin"/>
        </w:r>
        <w:r>
          <w:rPr>
            <w:rFonts w:eastAsia="楷体_GB2312"/>
          </w:rPr>
          <w:instrText xml:space="preserve"> PAGEREF _Toc5578 \h </w:instrText>
        </w:r>
        <w:r>
          <w:rPr>
            <w:rFonts w:eastAsia="楷体_GB2312"/>
          </w:rPr>
        </w:r>
        <w:r>
          <w:rPr>
            <w:rFonts w:eastAsia="楷体_GB2312"/>
          </w:rPr>
          <w:fldChar w:fldCharType="separate"/>
        </w:r>
        <w:r>
          <w:rPr>
            <w:rFonts w:eastAsia="楷体_GB2312"/>
          </w:rPr>
          <w:t>50</w:t>
        </w:r>
        <w:r>
          <w:rPr>
            <w:rFonts w:eastAsia="楷体_GB2312"/>
          </w:rPr>
          <w:fldChar w:fldCharType="end"/>
        </w:r>
      </w:hyperlink>
    </w:p>
    <w:p w:rsidR="000F7FAD" w:rsidRDefault="00BB4424">
      <w:pPr>
        <w:pStyle w:val="TOC2"/>
        <w:tabs>
          <w:tab w:val="right" w:leader="dot" w:pos="8844"/>
        </w:tabs>
        <w:ind w:left="600"/>
        <w:rPr>
          <w:rFonts w:eastAsia="楷体_GB2312"/>
        </w:rPr>
      </w:pPr>
      <w:hyperlink w:anchor="_Toc6731" w:history="1">
        <w:r>
          <w:rPr>
            <w:rFonts w:eastAsia="楷体_GB2312"/>
          </w:rPr>
          <w:t>第三节</w:t>
        </w:r>
        <w:r>
          <w:rPr>
            <w:rFonts w:eastAsia="楷体_GB2312"/>
          </w:rPr>
          <w:t xml:space="preserve">  </w:t>
        </w:r>
        <w:r>
          <w:rPr>
            <w:rFonts w:eastAsia="楷体_GB2312"/>
          </w:rPr>
          <w:t>提升队伍建设效能</w:t>
        </w:r>
        <w:r>
          <w:rPr>
            <w:rFonts w:eastAsia="楷体_GB2312"/>
          </w:rPr>
          <w:tab/>
        </w:r>
        <w:r>
          <w:rPr>
            <w:rFonts w:eastAsia="楷体_GB2312"/>
          </w:rPr>
          <w:fldChar w:fldCharType="begin"/>
        </w:r>
        <w:r>
          <w:rPr>
            <w:rFonts w:eastAsia="楷体_GB2312"/>
          </w:rPr>
          <w:instrText xml:space="preserve"> PAGEREF _Toc6731 \h </w:instrText>
        </w:r>
        <w:r>
          <w:rPr>
            <w:rFonts w:eastAsia="楷体_GB2312"/>
          </w:rPr>
        </w:r>
        <w:r>
          <w:rPr>
            <w:rFonts w:eastAsia="楷体_GB2312"/>
          </w:rPr>
          <w:fldChar w:fldCharType="separate"/>
        </w:r>
        <w:r>
          <w:rPr>
            <w:rFonts w:eastAsia="楷体_GB2312"/>
          </w:rPr>
          <w:t>51</w:t>
        </w:r>
        <w:r>
          <w:rPr>
            <w:rFonts w:eastAsia="楷体_GB2312"/>
          </w:rPr>
          <w:fldChar w:fldCharType="end"/>
        </w:r>
      </w:hyperlink>
    </w:p>
    <w:p w:rsidR="000F7FAD" w:rsidRDefault="00BB4424">
      <w:pPr>
        <w:pStyle w:val="TOC1"/>
        <w:tabs>
          <w:tab w:val="right" w:leader="dot" w:pos="8844"/>
        </w:tabs>
        <w:rPr>
          <w:rFonts w:eastAsia="黑体"/>
        </w:rPr>
      </w:pPr>
      <w:hyperlink w:anchor="_Toc11738" w:history="1">
        <w:r>
          <w:rPr>
            <w:rFonts w:eastAsia="黑体"/>
          </w:rPr>
          <w:t>第十一章</w:t>
        </w:r>
        <w:r>
          <w:rPr>
            <w:rFonts w:eastAsia="黑体"/>
          </w:rPr>
          <w:t xml:space="preserve">  </w:t>
        </w:r>
        <w:r>
          <w:rPr>
            <w:rFonts w:eastAsia="黑体"/>
          </w:rPr>
          <w:t>强化规划实施保障</w:t>
        </w:r>
        <w:r>
          <w:rPr>
            <w:rFonts w:eastAsia="黑体"/>
          </w:rPr>
          <w:tab/>
        </w:r>
        <w:r>
          <w:rPr>
            <w:rFonts w:eastAsia="黑体"/>
          </w:rPr>
          <w:fldChar w:fldCharType="begin"/>
        </w:r>
        <w:r>
          <w:rPr>
            <w:rFonts w:eastAsia="黑体"/>
          </w:rPr>
          <w:instrText xml:space="preserve"> PAGEREF _Toc11738 \h </w:instrText>
        </w:r>
        <w:r>
          <w:rPr>
            <w:rFonts w:eastAsia="黑体"/>
          </w:rPr>
        </w:r>
        <w:r>
          <w:rPr>
            <w:rFonts w:eastAsia="黑体"/>
          </w:rPr>
          <w:fldChar w:fldCharType="separate"/>
        </w:r>
        <w:r>
          <w:rPr>
            <w:rFonts w:eastAsia="黑体"/>
          </w:rPr>
          <w:t>52</w:t>
        </w:r>
        <w:r>
          <w:rPr>
            <w:rFonts w:eastAsia="黑体"/>
          </w:rPr>
          <w:fldChar w:fldCharType="end"/>
        </w:r>
      </w:hyperlink>
    </w:p>
    <w:p w:rsidR="000F7FAD" w:rsidRDefault="00BB4424">
      <w:pPr>
        <w:pStyle w:val="TOC2"/>
        <w:tabs>
          <w:tab w:val="right" w:leader="dot" w:pos="8844"/>
        </w:tabs>
        <w:ind w:left="600"/>
        <w:rPr>
          <w:rFonts w:eastAsia="楷体_GB2312"/>
        </w:rPr>
      </w:pPr>
      <w:hyperlink w:anchor="_Toc30565" w:history="1">
        <w:r>
          <w:rPr>
            <w:rFonts w:eastAsia="楷体_GB2312"/>
          </w:rPr>
          <w:t>第一节</w:t>
        </w:r>
        <w:r>
          <w:rPr>
            <w:rFonts w:eastAsia="楷体_GB2312"/>
          </w:rPr>
          <w:t xml:space="preserve">  </w:t>
        </w:r>
        <w:r>
          <w:rPr>
            <w:rFonts w:eastAsia="楷体_GB2312"/>
          </w:rPr>
          <w:t>强化组织保障</w:t>
        </w:r>
        <w:r>
          <w:rPr>
            <w:rFonts w:eastAsia="楷体_GB2312"/>
          </w:rPr>
          <w:tab/>
        </w:r>
        <w:r>
          <w:rPr>
            <w:rFonts w:eastAsia="楷体_GB2312"/>
          </w:rPr>
          <w:fldChar w:fldCharType="begin"/>
        </w:r>
        <w:r>
          <w:rPr>
            <w:rFonts w:eastAsia="楷体_GB2312"/>
          </w:rPr>
          <w:instrText xml:space="preserve"> PAGEREF _Toc30565 \h </w:instrText>
        </w:r>
        <w:r>
          <w:rPr>
            <w:rFonts w:eastAsia="楷体_GB2312"/>
          </w:rPr>
        </w:r>
        <w:r>
          <w:rPr>
            <w:rFonts w:eastAsia="楷体_GB2312"/>
          </w:rPr>
          <w:fldChar w:fldCharType="separate"/>
        </w:r>
        <w:r>
          <w:rPr>
            <w:rFonts w:eastAsia="楷体_GB2312"/>
          </w:rPr>
          <w:t>52</w:t>
        </w:r>
        <w:r>
          <w:rPr>
            <w:rFonts w:eastAsia="楷体_GB2312"/>
          </w:rPr>
          <w:fldChar w:fldCharType="end"/>
        </w:r>
      </w:hyperlink>
    </w:p>
    <w:p w:rsidR="000F7FAD" w:rsidRDefault="00BB4424">
      <w:pPr>
        <w:pStyle w:val="TOC2"/>
        <w:tabs>
          <w:tab w:val="right" w:leader="dot" w:pos="8844"/>
        </w:tabs>
        <w:ind w:left="600"/>
        <w:rPr>
          <w:rFonts w:eastAsia="楷体_GB2312"/>
        </w:rPr>
      </w:pPr>
      <w:hyperlink w:anchor="_Toc6095" w:history="1">
        <w:r>
          <w:rPr>
            <w:rFonts w:eastAsia="楷体_GB2312"/>
          </w:rPr>
          <w:t>第二节</w:t>
        </w:r>
        <w:r>
          <w:rPr>
            <w:rFonts w:eastAsia="楷体_GB2312"/>
          </w:rPr>
          <w:t xml:space="preserve">  </w:t>
        </w:r>
        <w:r>
          <w:rPr>
            <w:rFonts w:eastAsia="楷体_GB2312"/>
          </w:rPr>
          <w:t>强化政策支撑</w:t>
        </w:r>
        <w:r>
          <w:rPr>
            <w:rFonts w:eastAsia="楷体_GB2312"/>
          </w:rPr>
          <w:tab/>
        </w:r>
        <w:r>
          <w:rPr>
            <w:rFonts w:eastAsia="楷体_GB2312"/>
          </w:rPr>
          <w:fldChar w:fldCharType="begin"/>
        </w:r>
        <w:r>
          <w:rPr>
            <w:rFonts w:eastAsia="楷体_GB2312"/>
          </w:rPr>
          <w:instrText xml:space="preserve"> PAGEREF _Toc6095 \h </w:instrText>
        </w:r>
        <w:r>
          <w:rPr>
            <w:rFonts w:eastAsia="楷体_GB2312"/>
          </w:rPr>
        </w:r>
        <w:r>
          <w:rPr>
            <w:rFonts w:eastAsia="楷体_GB2312"/>
          </w:rPr>
          <w:fldChar w:fldCharType="separate"/>
        </w:r>
        <w:r>
          <w:rPr>
            <w:rFonts w:eastAsia="楷体_GB2312"/>
          </w:rPr>
          <w:t>52</w:t>
        </w:r>
        <w:r>
          <w:rPr>
            <w:rFonts w:eastAsia="楷体_GB2312"/>
          </w:rPr>
          <w:fldChar w:fldCharType="end"/>
        </w:r>
      </w:hyperlink>
    </w:p>
    <w:p w:rsidR="000F7FAD" w:rsidRDefault="00BB4424">
      <w:pPr>
        <w:pStyle w:val="TOC2"/>
        <w:tabs>
          <w:tab w:val="right" w:leader="dot" w:pos="8844"/>
        </w:tabs>
        <w:ind w:left="600"/>
        <w:rPr>
          <w:rFonts w:eastAsia="楷体_GB2312"/>
        </w:rPr>
      </w:pPr>
      <w:hyperlink w:anchor="_Toc25182" w:history="1">
        <w:r>
          <w:rPr>
            <w:rFonts w:eastAsia="楷体_GB2312"/>
          </w:rPr>
          <w:t>第三节</w:t>
        </w:r>
        <w:r>
          <w:rPr>
            <w:rFonts w:eastAsia="楷体_GB2312"/>
          </w:rPr>
          <w:t xml:space="preserve">  </w:t>
        </w:r>
        <w:r>
          <w:rPr>
            <w:rFonts w:eastAsia="楷体_GB2312"/>
          </w:rPr>
          <w:t>加强资金保障</w:t>
        </w:r>
        <w:r>
          <w:rPr>
            <w:rFonts w:eastAsia="楷体_GB2312"/>
          </w:rPr>
          <w:tab/>
        </w:r>
        <w:r>
          <w:rPr>
            <w:rFonts w:eastAsia="楷体_GB2312"/>
          </w:rPr>
          <w:fldChar w:fldCharType="begin"/>
        </w:r>
        <w:r>
          <w:rPr>
            <w:rFonts w:eastAsia="楷体_GB2312"/>
          </w:rPr>
          <w:instrText xml:space="preserve"> PAGEREF _Toc25182 \h </w:instrText>
        </w:r>
        <w:r>
          <w:rPr>
            <w:rFonts w:eastAsia="楷体_GB2312"/>
          </w:rPr>
        </w:r>
        <w:r>
          <w:rPr>
            <w:rFonts w:eastAsia="楷体_GB2312"/>
          </w:rPr>
          <w:fldChar w:fldCharType="separate"/>
        </w:r>
        <w:r>
          <w:rPr>
            <w:rFonts w:eastAsia="楷体_GB2312"/>
          </w:rPr>
          <w:t>53</w:t>
        </w:r>
        <w:r>
          <w:rPr>
            <w:rFonts w:eastAsia="楷体_GB2312"/>
          </w:rPr>
          <w:fldChar w:fldCharType="end"/>
        </w:r>
      </w:hyperlink>
    </w:p>
    <w:p w:rsidR="000F7FAD" w:rsidRDefault="00BB4424">
      <w:pPr>
        <w:pStyle w:val="TOC2"/>
        <w:tabs>
          <w:tab w:val="right" w:leader="dot" w:pos="8844"/>
        </w:tabs>
        <w:ind w:left="600"/>
        <w:rPr>
          <w:rFonts w:eastAsia="楷体_GB2312"/>
        </w:rPr>
      </w:pPr>
      <w:hyperlink w:anchor="_Toc22140" w:history="1">
        <w:r>
          <w:rPr>
            <w:rFonts w:eastAsia="楷体_GB2312"/>
          </w:rPr>
          <w:t>第四节</w:t>
        </w:r>
        <w:r>
          <w:rPr>
            <w:rFonts w:eastAsia="楷体_GB2312"/>
          </w:rPr>
          <w:t xml:space="preserve">  </w:t>
        </w:r>
        <w:r>
          <w:rPr>
            <w:rFonts w:eastAsia="楷体_GB2312"/>
          </w:rPr>
          <w:t>加强监测评估</w:t>
        </w:r>
        <w:r>
          <w:rPr>
            <w:rFonts w:eastAsia="楷体_GB2312"/>
          </w:rPr>
          <w:tab/>
        </w:r>
        <w:r>
          <w:rPr>
            <w:rFonts w:eastAsia="楷体_GB2312"/>
          </w:rPr>
          <w:fldChar w:fldCharType="begin"/>
        </w:r>
        <w:r>
          <w:rPr>
            <w:rFonts w:eastAsia="楷体_GB2312"/>
          </w:rPr>
          <w:instrText xml:space="preserve"> PAGEREF _Toc22140 \h </w:instrText>
        </w:r>
        <w:r>
          <w:rPr>
            <w:rFonts w:eastAsia="楷体_GB2312"/>
          </w:rPr>
        </w:r>
        <w:r>
          <w:rPr>
            <w:rFonts w:eastAsia="楷体_GB2312"/>
          </w:rPr>
          <w:fldChar w:fldCharType="separate"/>
        </w:r>
        <w:r>
          <w:rPr>
            <w:rFonts w:eastAsia="楷体_GB2312"/>
          </w:rPr>
          <w:t>53</w:t>
        </w:r>
        <w:r>
          <w:rPr>
            <w:rFonts w:eastAsia="楷体_GB2312"/>
          </w:rPr>
          <w:fldChar w:fldCharType="end"/>
        </w:r>
      </w:hyperlink>
    </w:p>
    <w:p w:rsidR="000F7FAD" w:rsidRDefault="00BB4424">
      <w:pPr>
        <w:tabs>
          <w:tab w:val="left" w:pos="7350"/>
          <w:tab w:val="left" w:pos="7500"/>
        </w:tabs>
        <w:topLinePunct/>
        <w:autoSpaceDE w:val="0"/>
        <w:autoSpaceDN w:val="0"/>
        <w:spacing w:line="600" w:lineRule="exact"/>
        <w:ind w:firstLine="615"/>
        <w:rPr>
          <w:sz w:val="32"/>
          <w:szCs w:val="32"/>
        </w:rPr>
      </w:pPr>
      <w:r>
        <w:rPr>
          <w:szCs w:val="32"/>
        </w:rPr>
        <w:fldChar w:fldCharType="end"/>
      </w:r>
    </w:p>
    <w:p w:rsidR="000F7FAD" w:rsidRDefault="00BB4424">
      <w:pPr>
        <w:spacing w:line="600" w:lineRule="exact"/>
        <w:jc w:val="center"/>
        <w:rPr>
          <w:rFonts w:ascii="方正小标宋简体" w:eastAsia="方正小标宋简体"/>
          <w:sz w:val="44"/>
          <w:szCs w:val="44"/>
        </w:rPr>
      </w:pPr>
      <w:r>
        <w:rPr>
          <w:rFonts w:ascii="仿宋_GB2312"/>
          <w:sz w:val="32"/>
          <w:szCs w:val="32"/>
        </w:rPr>
        <w:br w:type="page"/>
      </w:r>
      <w:r>
        <w:rPr>
          <w:rFonts w:ascii="方正小标宋简体" w:eastAsia="方正小标宋简体" w:hint="eastAsia"/>
          <w:sz w:val="44"/>
          <w:szCs w:val="44"/>
        </w:rPr>
        <w:lastRenderedPageBreak/>
        <w:t>东莞市人力资源和社会保障事业发展</w:t>
      </w:r>
    </w:p>
    <w:p w:rsidR="000F7FAD" w:rsidRDefault="00BB4424">
      <w:pPr>
        <w:spacing w:line="600" w:lineRule="exact"/>
        <w:jc w:val="center"/>
        <w:rPr>
          <w:rFonts w:ascii="方正小标宋简体" w:eastAsia="方正小标宋简体"/>
          <w:sz w:val="44"/>
          <w:szCs w:val="44"/>
        </w:rPr>
      </w:pPr>
      <w:r>
        <w:rPr>
          <w:rFonts w:ascii="方正小标宋简体" w:eastAsia="方正小标宋简体" w:hint="eastAsia"/>
          <w:sz w:val="44"/>
          <w:szCs w:val="44"/>
        </w:rPr>
        <w:t>“十四五”规划</w:t>
      </w:r>
    </w:p>
    <w:p w:rsidR="000F7FAD" w:rsidRDefault="000F7FAD">
      <w:pPr>
        <w:tabs>
          <w:tab w:val="left" w:pos="7350"/>
          <w:tab w:val="left" w:pos="7500"/>
        </w:tabs>
        <w:topLinePunct/>
        <w:autoSpaceDE w:val="0"/>
        <w:autoSpaceDN w:val="0"/>
        <w:spacing w:line="440" w:lineRule="exact"/>
        <w:ind w:firstLine="612"/>
        <w:rPr>
          <w:rFonts w:ascii="仿宋_GB2312"/>
          <w:sz w:val="32"/>
          <w:szCs w:val="32"/>
        </w:rPr>
      </w:pPr>
    </w:p>
    <w:p w:rsidR="000F7FAD" w:rsidRDefault="00BB4424">
      <w:pPr>
        <w:topLinePunct/>
        <w:autoSpaceDE w:val="0"/>
        <w:autoSpaceDN w:val="0"/>
        <w:snapToGrid w:val="0"/>
        <w:spacing w:line="570" w:lineRule="exact"/>
        <w:ind w:firstLineChars="200" w:firstLine="640"/>
        <w:rPr>
          <w:sz w:val="32"/>
          <w:szCs w:val="32"/>
        </w:rPr>
      </w:pPr>
      <w:r>
        <w:rPr>
          <w:rFonts w:hint="eastAsia"/>
          <w:sz w:val="32"/>
          <w:szCs w:val="32"/>
        </w:rPr>
        <w:t>本规划，根据《人力资源和社会保障事业发展“十四五”规划》《广东省人力资源和社会保障事业发展“十四五”规划》《东莞市国民经济和社会发展第十四个五年规划和</w:t>
      </w:r>
      <w:r>
        <w:rPr>
          <w:rFonts w:hint="eastAsia"/>
          <w:sz w:val="32"/>
          <w:szCs w:val="32"/>
        </w:rPr>
        <w:t>2035</w:t>
      </w:r>
      <w:r>
        <w:rPr>
          <w:rFonts w:hint="eastAsia"/>
          <w:sz w:val="32"/>
          <w:szCs w:val="32"/>
        </w:rPr>
        <w:t>年远景目标纲要》编制，主要阐明“十四五”时期推进我市人力资源和社会保障事业高质量发展的总体思路，明确主要发展目标、重大政策举措和重点工作任务，是未来五年我市人力资源和社会保障事业发展的重要指导文件。</w:t>
      </w:r>
    </w:p>
    <w:p w:rsidR="000F7FAD" w:rsidRDefault="00BB4424">
      <w:pPr>
        <w:pStyle w:val="1"/>
      </w:pPr>
      <w:bookmarkStart w:id="1" w:name="_Toc16249"/>
      <w:bookmarkStart w:id="2" w:name="_Toc30754"/>
      <w:r>
        <w:rPr>
          <w:rFonts w:hint="eastAsia"/>
        </w:rPr>
        <w:t>第一章</w:t>
      </w:r>
      <w:r>
        <w:rPr>
          <w:rFonts w:hint="eastAsia"/>
        </w:rPr>
        <w:t xml:space="preserve">  </w:t>
      </w:r>
      <w:r>
        <w:rPr>
          <w:rFonts w:hint="eastAsia"/>
        </w:rPr>
        <w:t>发展基础和发展形势</w:t>
      </w:r>
      <w:bookmarkEnd w:id="1"/>
      <w:bookmarkEnd w:id="2"/>
    </w:p>
    <w:p w:rsidR="000F7FAD" w:rsidRDefault="00BB4424">
      <w:pPr>
        <w:pStyle w:val="20"/>
      </w:pPr>
      <w:bookmarkStart w:id="3" w:name="_Toc26374"/>
      <w:bookmarkStart w:id="4" w:name="_Toc19641"/>
      <w:r>
        <w:rPr>
          <w:rFonts w:hint="eastAsia"/>
        </w:rPr>
        <w:t>第一节</w:t>
      </w:r>
      <w:r>
        <w:rPr>
          <w:rFonts w:hint="eastAsia"/>
        </w:rPr>
        <w:t xml:space="preserve">  </w:t>
      </w:r>
      <w:r>
        <w:rPr>
          <w:rFonts w:hint="eastAsia"/>
        </w:rPr>
        <w:t>发展基础</w:t>
      </w:r>
      <w:bookmarkEnd w:id="3"/>
      <w:bookmarkEnd w:id="4"/>
    </w:p>
    <w:p w:rsidR="000F7FAD" w:rsidRDefault="00BB4424">
      <w:pPr>
        <w:topLinePunct/>
        <w:autoSpaceDE w:val="0"/>
        <w:autoSpaceDN w:val="0"/>
        <w:snapToGrid w:val="0"/>
        <w:spacing w:line="570" w:lineRule="exact"/>
        <w:ind w:firstLineChars="200" w:firstLine="640"/>
        <w:rPr>
          <w:sz w:val="32"/>
          <w:szCs w:val="32"/>
        </w:rPr>
      </w:pPr>
      <w:r>
        <w:rPr>
          <w:rFonts w:hint="eastAsia"/>
          <w:sz w:val="32"/>
          <w:szCs w:val="32"/>
        </w:rPr>
        <w:t>“十三五”时期是我市人力资源和社会保障事业取得新的重要成绩、发展质量大幅提升的五年。五年来，全市人力资源</w:t>
      </w:r>
      <w:r>
        <w:rPr>
          <w:rFonts w:hint="eastAsia"/>
          <w:sz w:val="32"/>
          <w:szCs w:val="32"/>
        </w:rPr>
        <w:t>和社会保障部门坚决贯彻落实党中央国务院、省委省政府以及市委市政府决策部署，坚持“民生为本、人才优先”工作主线，主动作为、攻坚克难，全面完成“十三五”时期主要目标任务，为“十四五”时期事业发展奠定了坚实基础。</w:t>
      </w:r>
    </w:p>
    <w:p w:rsidR="000F7FAD" w:rsidRDefault="00BB4424">
      <w:pPr>
        <w:topLinePunct/>
        <w:autoSpaceDE w:val="0"/>
        <w:autoSpaceDN w:val="0"/>
        <w:snapToGrid w:val="0"/>
        <w:spacing w:line="570" w:lineRule="exact"/>
        <w:ind w:firstLineChars="200" w:firstLine="640"/>
        <w:rPr>
          <w:sz w:val="32"/>
          <w:szCs w:val="32"/>
        </w:rPr>
      </w:pPr>
      <w:r>
        <w:rPr>
          <w:rFonts w:ascii="楷体_GB2312" w:eastAsia="楷体_GB2312" w:hint="eastAsia"/>
          <w:sz w:val="32"/>
          <w:szCs w:val="32"/>
        </w:rPr>
        <w:t>稳就业保就业扎实开展，有力保障群众安居乐业。</w:t>
      </w:r>
      <w:r>
        <w:rPr>
          <w:rFonts w:hint="eastAsia"/>
          <w:sz w:val="32"/>
          <w:szCs w:val="32"/>
        </w:rPr>
        <w:t>实施</w:t>
      </w:r>
      <w:r>
        <w:rPr>
          <w:rFonts w:hint="eastAsia"/>
          <w:sz w:val="32"/>
          <w:szCs w:val="32"/>
        </w:rPr>
        <w:t>1.0</w:t>
      </w:r>
      <w:r>
        <w:rPr>
          <w:rFonts w:hint="eastAsia"/>
          <w:sz w:val="32"/>
          <w:szCs w:val="32"/>
        </w:rPr>
        <w:t>、</w:t>
      </w:r>
      <w:r>
        <w:rPr>
          <w:rFonts w:hint="eastAsia"/>
          <w:sz w:val="32"/>
          <w:szCs w:val="32"/>
        </w:rPr>
        <w:t>2.0</w:t>
      </w:r>
      <w:r>
        <w:rPr>
          <w:rFonts w:hint="eastAsia"/>
          <w:sz w:val="32"/>
          <w:szCs w:val="32"/>
        </w:rPr>
        <w:t>版“促进就业九条”，就业工作机制更加健全，城镇新增就</w:t>
      </w:r>
      <w:r>
        <w:rPr>
          <w:rFonts w:hint="eastAsia"/>
          <w:sz w:val="32"/>
          <w:szCs w:val="32"/>
        </w:rPr>
        <w:lastRenderedPageBreak/>
        <w:t>业</w:t>
      </w:r>
      <w:r>
        <w:rPr>
          <w:rFonts w:hint="eastAsia"/>
          <w:sz w:val="32"/>
          <w:szCs w:val="32"/>
        </w:rPr>
        <w:t>45.34</w:t>
      </w:r>
      <w:r>
        <w:rPr>
          <w:rFonts w:hint="eastAsia"/>
          <w:sz w:val="32"/>
          <w:szCs w:val="32"/>
        </w:rPr>
        <w:t>万人，城镇登记失业率始终控制在目标值</w:t>
      </w:r>
      <w:r>
        <w:rPr>
          <w:rFonts w:hint="eastAsia"/>
          <w:sz w:val="32"/>
          <w:szCs w:val="32"/>
        </w:rPr>
        <w:t>3%</w:t>
      </w:r>
      <w:r>
        <w:rPr>
          <w:rFonts w:hint="eastAsia"/>
          <w:sz w:val="32"/>
          <w:szCs w:val="32"/>
        </w:rPr>
        <w:t>以内。建设</w:t>
      </w:r>
      <w:r>
        <w:rPr>
          <w:rFonts w:hint="eastAsia"/>
          <w:sz w:val="32"/>
          <w:szCs w:val="32"/>
        </w:rPr>
        <w:t>50</w:t>
      </w:r>
      <w:r>
        <w:rPr>
          <w:rFonts w:hint="eastAsia"/>
          <w:sz w:val="32"/>
          <w:szCs w:val="32"/>
        </w:rPr>
        <w:t>个市级创业孵化基地，创业贷款贴息政策放宽户籍限制、最高额度提高到</w:t>
      </w:r>
      <w:r>
        <w:rPr>
          <w:rFonts w:hint="eastAsia"/>
          <w:sz w:val="32"/>
          <w:szCs w:val="32"/>
        </w:rPr>
        <w:t>30</w:t>
      </w:r>
      <w:r>
        <w:rPr>
          <w:rFonts w:hint="eastAsia"/>
          <w:sz w:val="32"/>
          <w:szCs w:val="32"/>
        </w:rPr>
        <w:t>万元。就业扶贫扎实推进，累计帮扶</w:t>
      </w:r>
      <w:r>
        <w:rPr>
          <w:rFonts w:hint="eastAsia"/>
          <w:sz w:val="32"/>
          <w:szCs w:val="32"/>
        </w:rPr>
        <w:t>3.68</w:t>
      </w:r>
      <w:r>
        <w:rPr>
          <w:rFonts w:hint="eastAsia"/>
          <w:sz w:val="32"/>
          <w:szCs w:val="32"/>
        </w:rPr>
        <w:t>万名对口帮扶地区</w:t>
      </w:r>
      <w:r>
        <w:rPr>
          <w:rFonts w:hint="eastAsia"/>
          <w:sz w:val="32"/>
          <w:szCs w:val="32"/>
        </w:rPr>
        <w:t>贫困劳动力转移来莞就业。多次被省政府评为就业工作目标责任制考核优秀地级市。</w:t>
      </w:r>
    </w:p>
    <w:p w:rsidR="000F7FAD" w:rsidRDefault="00BB4424">
      <w:pPr>
        <w:topLinePunct/>
        <w:autoSpaceDE w:val="0"/>
        <w:autoSpaceDN w:val="0"/>
        <w:snapToGrid w:val="0"/>
        <w:spacing w:line="570" w:lineRule="exact"/>
        <w:ind w:firstLineChars="200" w:firstLine="640"/>
      </w:pPr>
      <w:r>
        <w:rPr>
          <w:rFonts w:ascii="楷体_GB2312" w:eastAsia="楷体_GB2312" w:hint="eastAsia"/>
          <w:sz w:val="32"/>
          <w:szCs w:val="32"/>
        </w:rPr>
        <w:t>社会保障更加完善，有力提升幸福感获得感。</w:t>
      </w:r>
      <w:r>
        <w:rPr>
          <w:rFonts w:hint="eastAsia"/>
          <w:sz w:val="32"/>
          <w:szCs w:val="32"/>
        </w:rPr>
        <w:t>企业职工基本养老保险、工伤保险实现省级统筹，各险种总参保人次为</w:t>
      </w:r>
      <w:r>
        <w:rPr>
          <w:rFonts w:hint="eastAsia"/>
          <w:sz w:val="32"/>
          <w:szCs w:val="32"/>
        </w:rPr>
        <w:t>2611.78</w:t>
      </w:r>
      <w:r>
        <w:rPr>
          <w:rFonts w:hint="eastAsia"/>
          <w:sz w:val="32"/>
          <w:szCs w:val="32"/>
        </w:rPr>
        <w:t>万。社会养老保险退休人员养老金平均增长</w:t>
      </w:r>
      <w:r>
        <w:rPr>
          <w:rFonts w:hint="eastAsia"/>
          <w:sz w:val="32"/>
          <w:szCs w:val="32"/>
        </w:rPr>
        <w:t>3.57%</w:t>
      </w:r>
      <w:r>
        <w:rPr>
          <w:rFonts w:hint="eastAsia"/>
          <w:sz w:val="32"/>
          <w:szCs w:val="32"/>
        </w:rPr>
        <w:t>，城乡居民基本养老保险基础养老金从</w:t>
      </w:r>
      <w:r>
        <w:rPr>
          <w:rFonts w:hint="eastAsia"/>
          <w:sz w:val="32"/>
          <w:szCs w:val="32"/>
        </w:rPr>
        <w:t>300</w:t>
      </w:r>
      <w:r>
        <w:rPr>
          <w:rFonts w:hint="eastAsia"/>
          <w:sz w:val="32"/>
          <w:szCs w:val="32"/>
        </w:rPr>
        <w:t>元提高到</w:t>
      </w:r>
      <w:r>
        <w:rPr>
          <w:rFonts w:hint="eastAsia"/>
          <w:sz w:val="32"/>
          <w:szCs w:val="32"/>
        </w:rPr>
        <w:t>420</w:t>
      </w:r>
      <w:r>
        <w:rPr>
          <w:rFonts w:hint="eastAsia"/>
          <w:sz w:val="32"/>
          <w:szCs w:val="32"/>
        </w:rPr>
        <w:t>元。疫情期间极速落地社保“免减延缓”政策，为企业减负超过</w:t>
      </w:r>
      <w:r>
        <w:rPr>
          <w:rFonts w:hint="eastAsia"/>
          <w:sz w:val="32"/>
          <w:szCs w:val="32"/>
        </w:rPr>
        <w:t>200</w:t>
      </w:r>
      <w:r>
        <w:rPr>
          <w:rFonts w:hint="eastAsia"/>
          <w:sz w:val="32"/>
          <w:szCs w:val="32"/>
        </w:rPr>
        <w:t>亿元。推动机关事业单位养老保险改革逐步落地，提前完成职业年金实账积累。失业保险提标扩围，实现户籍与非户籍同等缴费、同等待遇。推行“预约办”“线上办”“指尖办</w:t>
      </w:r>
      <w:r>
        <w:rPr>
          <w:rFonts w:hint="eastAsia"/>
          <w:sz w:val="32"/>
          <w:szCs w:val="32"/>
        </w:rPr>
        <w:t>”，社保高频服务事项网办率提高到</w:t>
      </w:r>
      <w:r>
        <w:rPr>
          <w:rFonts w:hint="eastAsia"/>
          <w:sz w:val="32"/>
          <w:szCs w:val="32"/>
        </w:rPr>
        <w:t>91%</w:t>
      </w:r>
      <w:r>
        <w:rPr>
          <w:rFonts w:hint="eastAsia"/>
          <w:sz w:val="32"/>
          <w:szCs w:val="32"/>
        </w:rPr>
        <w:t>。电子社保卡签发量居全国前列。</w:t>
      </w:r>
    </w:p>
    <w:p w:rsidR="000F7FAD" w:rsidRDefault="00BB4424">
      <w:pPr>
        <w:topLinePunct/>
        <w:autoSpaceDE w:val="0"/>
        <w:autoSpaceDN w:val="0"/>
        <w:snapToGrid w:val="0"/>
        <w:spacing w:line="570" w:lineRule="exact"/>
        <w:ind w:firstLineChars="200" w:firstLine="640"/>
        <w:rPr>
          <w:sz w:val="32"/>
          <w:szCs w:val="32"/>
        </w:rPr>
      </w:pPr>
      <w:r>
        <w:rPr>
          <w:rFonts w:ascii="楷体_GB2312" w:eastAsia="楷体_GB2312" w:hint="eastAsia"/>
          <w:sz w:val="32"/>
          <w:szCs w:val="32"/>
        </w:rPr>
        <w:t>高层次人才工作加速推进，有力助推创新驱动。</w:t>
      </w:r>
      <w:r w:rsidRPr="006110A6">
        <w:rPr>
          <w:rFonts w:hint="eastAsia"/>
          <w:sz w:val="32"/>
          <w:szCs w:val="32"/>
        </w:rPr>
        <w:t>实施</w:t>
      </w:r>
      <w:r>
        <w:rPr>
          <w:rFonts w:hint="eastAsia"/>
          <w:sz w:val="32"/>
          <w:szCs w:val="32"/>
        </w:rPr>
        <w:t>特色人才、研发人才、领军人才等政策，认定评定特色人才</w:t>
      </w:r>
      <w:r>
        <w:rPr>
          <w:rFonts w:hint="eastAsia"/>
          <w:sz w:val="32"/>
          <w:szCs w:val="32"/>
        </w:rPr>
        <w:t>444</w:t>
      </w:r>
      <w:r>
        <w:rPr>
          <w:rFonts w:hint="eastAsia"/>
          <w:sz w:val="32"/>
          <w:szCs w:val="32"/>
        </w:rPr>
        <w:t>名，市领军人才</w:t>
      </w:r>
      <w:r>
        <w:rPr>
          <w:rFonts w:hint="eastAsia"/>
          <w:sz w:val="32"/>
          <w:szCs w:val="32"/>
        </w:rPr>
        <w:t>108</w:t>
      </w:r>
      <w:r>
        <w:rPr>
          <w:rFonts w:hint="eastAsia"/>
          <w:sz w:val="32"/>
          <w:szCs w:val="32"/>
        </w:rPr>
        <w:t>名。新增博士后平台</w:t>
      </w:r>
      <w:r>
        <w:rPr>
          <w:rFonts w:hint="eastAsia"/>
          <w:sz w:val="32"/>
          <w:szCs w:val="32"/>
        </w:rPr>
        <w:t>22</w:t>
      </w:r>
      <w:r>
        <w:rPr>
          <w:rFonts w:hint="eastAsia"/>
          <w:sz w:val="32"/>
          <w:szCs w:val="32"/>
        </w:rPr>
        <w:t>个，建立省博士工作站</w:t>
      </w:r>
      <w:r>
        <w:rPr>
          <w:rFonts w:hint="eastAsia"/>
          <w:sz w:val="32"/>
          <w:szCs w:val="32"/>
        </w:rPr>
        <w:t>43</w:t>
      </w:r>
      <w:r>
        <w:rPr>
          <w:rFonts w:hint="eastAsia"/>
          <w:sz w:val="32"/>
          <w:szCs w:val="32"/>
        </w:rPr>
        <w:t>个、人才工作站</w:t>
      </w:r>
      <w:r>
        <w:rPr>
          <w:rFonts w:hint="eastAsia"/>
          <w:sz w:val="32"/>
          <w:szCs w:val="32"/>
        </w:rPr>
        <w:t>8</w:t>
      </w:r>
      <w:r>
        <w:rPr>
          <w:rFonts w:hint="eastAsia"/>
          <w:sz w:val="32"/>
          <w:szCs w:val="32"/>
        </w:rPr>
        <w:t>个。举办“人才活动周”“名企名校行”“博士后沙龙”系列活动。在松山湖建立全市首个人力资源服务产业园。建立优才卡制度，启用市优才服务中心。事业单位全面实施公开招聘、岗位管理和人员聘用制度，公开招聘</w:t>
      </w:r>
      <w:r>
        <w:rPr>
          <w:rFonts w:hint="eastAsia"/>
          <w:sz w:val="32"/>
          <w:szCs w:val="32"/>
        </w:rPr>
        <w:t>4727</w:t>
      </w:r>
      <w:r>
        <w:rPr>
          <w:rFonts w:hint="eastAsia"/>
          <w:sz w:val="32"/>
          <w:szCs w:val="32"/>
        </w:rPr>
        <w:t>人。优化人才入户政策，</w:t>
      </w:r>
      <w:r>
        <w:rPr>
          <w:rFonts w:hint="eastAsia"/>
          <w:sz w:val="32"/>
          <w:szCs w:val="32"/>
        </w:rPr>
        <w:t>17.24</w:t>
      </w:r>
      <w:r>
        <w:rPr>
          <w:rFonts w:hint="eastAsia"/>
          <w:sz w:val="32"/>
          <w:szCs w:val="32"/>
        </w:rPr>
        <w:t>万人获得入户资格。</w:t>
      </w:r>
    </w:p>
    <w:p w:rsidR="000F7FAD" w:rsidRDefault="00BB4424">
      <w:pPr>
        <w:topLinePunct/>
        <w:autoSpaceDE w:val="0"/>
        <w:autoSpaceDN w:val="0"/>
        <w:snapToGrid w:val="0"/>
        <w:spacing w:line="570" w:lineRule="exact"/>
        <w:ind w:firstLineChars="200" w:firstLine="640"/>
      </w:pPr>
      <w:r>
        <w:rPr>
          <w:rFonts w:ascii="楷体_GB2312" w:eastAsia="楷体_GB2312" w:hint="eastAsia"/>
          <w:sz w:val="32"/>
          <w:szCs w:val="32"/>
        </w:rPr>
        <w:lastRenderedPageBreak/>
        <w:t>“</w:t>
      </w:r>
      <w:r>
        <w:rPr>
          <w:rFonts w:ascii="楷体_GB2312" w:eastAsia="楷体_GB2312" w:hint="eastAsia"/>
          <w:sz w:val="32"/>
          <w:szCs w:val="32"/>
        </w:rPr>
        <w:t>技能人才之都”凸显成效，有力支撑产业发展。</w:t>
      </w:r>
      <w:r>
        <w:rPr>
          <w:rFonts w:hint="eastAsia"/>
          <w:sz w:val="32"/>
          <w:szCs w:val="32"/>
        </w:rPr>
        <w:t>“技能人才之都”全面启动，三项工程扎实推进，建立覆盖全链条的政策体系、工作机制。打造“一镇一品”培训品牌，构建“市高训中心</w:t>
      </w:r>
      <w:r>
        <w:rPr>
          <w:rFonts w:hint="eastAsia"/>
          <w:sz w:val="32"/>
          <w:szCs w:val="32"/>
        </w:rPr>
        <w:t>+</w:t>
      </w:r>
      <w:r>
        <w:rPr>
          <w:rFonts w:hint="eastAsia"/>
          <w:sz w:val="32"/>
          <w:szCs w:val="32"/>
        </w:rPr>
        <w:t>分基地”实训体系，建设</w:t>
      </w:r>
      <w:r>
        <w:rPr>
          <w:rFonts w:hint="eastAsia"/>
          <w:sz w:val="32"/>
          <w:szCs w:val="32"/>
        </w:rPr>
        <w:t>102</w:t>
      </w:r>
      <w:r>
        <w:rPr>
          <w:rFonts w:hint="eastAsia"/>
          <w:sz w:val="32"/>
          <w:szCs w:val="32"/>
        </w:rPr>
        <w:t>个技师工作站。技工院校从</w:t>
      </w:r>
      <w:r>
        <w:rPr>
          <w:rFonts w:hint="eastAsia"/>
          <w:sz w:val="32"/>
          <w:szCs w:val="32"/>
        </w:rPr>
        <w:t>3</w:t>
      </w:r>
      <w:r>
        <w:rPr>
          <w:rFonts w:hint="eastAsia"/>
          <w:sz w:val="32"/>
          <w:szCs w:val="32"/>
        </w:rPr>
        <w:t>所增至</w:t>
      </w:r>
      <w:r>
        <w:rPr>
          <w:rFonts w:hint="eastAsia"/>
          <w:sz w:val="32"/>
          <w:szCs w:val="32"/>
        </w:rPr>
        <w:t>8</w:t>
      </w:r>
      <w:r>
        <w:rPr>
          <w:rFonts w:hint="eastAsia"/>
          <w:sz w:val="32"/>
          <w:szCs w:val="32"/>
        </w:rPr>
        <w:t>所，在校生</w:t>
      </w:r>
      <w:r>
        <w:rPr>
          <w:rFonts w:hint="eastAsia"/>
          <w:sz w:val="32"/>
          <w:szCs w:val="32"/>
        </w:rPr>
        <w:t>3.1</w:t>
      </w:r>
      <w:r>
        <w:rPr>
          <w:rFonts w:hint="eastAsia"/>
          <w:sz w:val="32"/>
          <w:szCs w:val="32"/>
        </w:rPr>
        <w:t>万人，实现翻番。东莞市技师学院成为省高水平技师学院建设单位，国际合作走在全省前列。技能竞赛体系更加完善，</w:t>
      </w:r>
      <w:r>
        <w:rPr>
          <w:rFonts w:hint="eastAsia"/>
          <w:sz w:val="32"/>
          <w:szCs w:val="32"/>
        </w:rPr>
        <w:t>410</w:t>
      </w:r>
      <w:r>
        <w:rPr>
          <w:rFonts w:hint="eastAsia"/>
          <w:sz w:val="32"/>
          <w:szCs w:val="32"/>
        </w:rPr>
        <w:t>人获“东莞市技术能手”，</w:t>
      </w:r>
      <w:r>
        <w:rPr>
          <w:rFonts w:hint="eastAsia"/>
          <w:sz w:val="32"/>
          <w:szCs w:val="32"/>
        </w:rPr>
        <w:t>3</w:t>
      </w:r>
      <w:r>
        <w:rPr>
          <w:rFonts w:hint="eastAsia"/>
          <w:sz w:val="32"/>
          <w:szCs w:val="32"/>
        </w:rPr>
        <w:t>人次获</w:t>
      </w:r>
      <w:r>
        <w:rPr>
          <w:rFonts w:hint="eastAsia"/>
          <w:sz w:val="32"/>
          <w:szCs w:val="32"/>
        </w:rPr>
        <w:t>3</w:t>
      </w:r>
      <w:r>
        <w:rPr>
          <w:rFonts w:hint="eastAsia"/>
          <w:sz w:val="32"/>
          <w:szCs w:val="32"/>
        </w:rPr>
        <w:t>个国际性竞赛金奖。</w:t>
      </w:r>
    </w:p>
    <w:p w:rsidR="000F7FAD" w:rsidRDefault="00BB4424">
      <w:pPr>
        <w:topLinePunct/>
        <w:autoSpaceDE w:val="0"/>
        <w:autoSpaceDN w:val="0"/>
        <w:snapToGrid w:val="0"/>
        <w:spacing w:line="570" w:lineRule="exact"/>
        <w:ind w:firstLineChars="200" w:firstLine="640"/>
        <w:rPr>
          <w:sz w:val="32"/>
          <w:szCs w:val="32"/>
        </w:rPr>
      </w:pPr>
      <w:r>
        <w:rPr>
          <w:rFonts w:ascii="楷体_GB2312" w:eastAsia="楷体_GB2312" w:hint="eastAsia"/>
          <w:sz w:val="32"/>
          <w:szCs w:val="32"/>
        </w:rPr>
        <w:t>劳动关系更加和谐，有力维护社会大局稳定。</w:t>
      </w:r>
      <w:r>
        <w:rPr>
          <w:rFonts w:hint="eastAsia"/>
          <w:sz w:val="32"/>
          <w:szCs w:val="32"/>
        </w:rPr>
        <w:t>有效应对新冠肺炎疫情、经贸摩擦、团贷网等对劳动关系的影响。欠薪约</w:t>
      </w:r>
      <w:r>
        <w:rPr>
          <w:rFonts w:hint="eastAsia"/>
          <w:sz w:val="32"/>
          <w:szCs w:val="32"/>
        </w:rPr>
        <w:t>谈、案件移送、社会公布、“黑名单”等治理机制持续完善，多次获省保障农民工工资支付考核</w:t>
      </w:r>
      <w:r>
        <w:rPr>
          <w:rFonts w:hint="eastAsia"/>
          <w:sz w:val="32"/>
          <w:szCs w:val="32"/>
        </w:rPr>
        <w:t>A</w:t>
      </w:r>
      <w:r>
        <w:rPr>
          <w:rFonts w:hint="eastAsia"/>
          <w:sz w:val="32"/>
          <w:szCs w:val="32"/>
        </w:rPr>
        <w:t>级。年均巡查企业超过</w:t>
      </w:r>
      <w:r>
        <w:rPr>
          <w:rFonts w:hint="eastAsia"/>
          <w:sz w:val="32"/>
          <w:szCs w:val="32"/>
        </w:rPr>
        <w:t>2</w:t>
      </w:r>
      <w:r>
        <w:rPr>
          <w:rFonts w:hint="eastAsia"/>
          <w:sz w:val="32"/>
          <w:szCs w:val="32"/>
        </w:rPr>
        <w:t>万家，连续</w:t>
      </w:r>
      <w:r>
        <w:rPr>
          <w:rFonts w:hint="eastAsia"/>
          <w:sz w:val="32"/>
          <w:szCs w:val="32"/>
        </w:rPr>
        <w:t>10</w:t>
      </w:r>
      <w:r>
        <w:rPr>
          <w:rFonts w:hint="eastAsia"/>
          <w:sz w:val="32"/>
          <w:szCs w:val="32"/>
        </w:rPr>
        <w:t>年获全国清理整顿人力资源市场秩序专项执法行动表扬单位。信访首访办结率达</w:t>
      </w:r>
      <w:r>
        <w:rPr>
          <w:rFonts w:hint="eastAsia"/>
          <w:sz w:val="32"/>
          <w:szCs w:val="32"/>
        </w:rPr>
        <w:t>90%</w:t>
      </w:r>
      <w:r>
        <w:rPr>
          <w:rFonts w:hint="eastAsia"/>
          <w:sz w:val="32"/>
          <w:szCs w:val="32"/>
        </w:rPr>
        <w:t>以上，</w:t>
      </w:r>
      <w:r>
        <w:rPr>
          <w:rFonts w:hint="eastAsia"/>
          <w:sz w:val="32"/>
          <w:szCs w:val="32"/>
        </w:rPr>
        <w:t>85%</w:t>
      </w:r>
      <w:r>
        <w:rPr>
          <w:rFonts w:hint="eastAsia"/>
          <w:sz w:val="32"/>
          <w:szCs w:val="32"/>
        </w:rPr>
        <w:t>以上信访案件在基层化解。建立兼职仲裁员、要素式</w:t>
      </w:r>
      <w:r>
        <w:rPr>
          <w:rFonts w:hint="eastAsia"/>
          <w:sz w:val="32"/>
          <w:szCs w:val="32"/>
        </w:rPr>
        <w:t>办案</w:t>
      </w:r>
      <w:r>
        <w:rPr>
          <w:rFonts w:hint="eastAsia"/>
          <w:sz w:val="32"/>
          <w:szCs w:val="32"/>
        </w:rPr>
        <w:t>、网上仲裁、观摩庭等机制，法定审限内结案率达</w:t>
      </w:r>
      <w:r>
        <w:rPr>
          <w:rFonts w:hint="eastAsia"/>
          <w:sz w:val="32"/>
          <w:szCs w:val="32"/>
        </w:rPr>
        <w:t>100%</w:t>
      </w:r>
      <w:r>
        <w:rPr>
          <w:rFonts w:hint="eastAsia"/>
          <w:sz w:val="32"/>
          <w:szCs w:val="32"/>
        </w:rPr>
        <w:t>。最低工资标准由</w:t>
      </w:r>
      <w:r>
        <w:rPr>
          <w:rFonts w:hint="eastAsia"/>
          <w:sz w:val="32"/>
          <w:szCs w:val="32"/>
        </w:rPr>
        <w:t>1510</w:t>
      </w:r>
      <w:r>
        <w:rPr>
          <w:rFonts w:hint="eastAsia"/>
          <w:sz w:val="32"/>
          <w:szCs w:val="32"/>
        </w:rPr>
        <w:t>元</w:t>
      </w:r>
      <w:r>
        <w:rPr>
          <w:rFonts w:hint="eastAsia"/>
          <w:sz w:val="32"/>
          <w:szCs w:val="32"/>
        </w:rPr>
        <w:t>/</w:t>
      </w:r>
      <w:r>
        <w:rPr>
          <w:rFonts w:hint="eastAsia"/>
          <w:sz w:val="32"/>
          <w:szCs w:val="32"/>
        </w:rPr>
        <w:t>月上调至</w:t>
      </w:r>
      <w:r>
        <w:rPr>
          <w:rFonts w:hint="eastAsia"/>
          <w:sz w:val="32"/>
          <w:szCs w:val="32"/>
        </w:rPr>
        <w:t>1720</w:t>
      </w:r>
      <w:r>
        <w:rPr>
          <w:rFonts w:hint="eastAsia"/>
          <w:sz w:val="32"/>
          <w:szCs w:val="32"/>
        </w:rPr>
        <w:t>元</w:t>
      </w:r>
      <w:r>
        <w:rPr>
          <w:rFonts w:hint="eastAsia"/>
          <w:sz w:val="32"/>
          <w:szCs w:val="32"/>
        </w:rPr>
        <w:t>/</w:t>
      </w:r>
      <w:r>
        <w:rPr>
          <w:rFonts w:hint="eastAsia"/>
          <w:sz w:val="32"/>
          <w:szCs w:val="32"/>
        </w:rPr>
        <w:t>月。全省率先实施劳务派遣行政许可实施细则。</w:t>
      </w:r>
    </w:p>
    <w:p w:rsidR="000F7FAD" w:rsidRDefault="00BB4424">
      <w:pPr>
        <w:topLinePunct/>
        <w:autoSpaceDE w:val="0"/>
        <w:autoSpaceDN w:val="0"/>
        <w:snapToGrid w:val="0"/>
        <w:spacing w:line="570" w:lineRule="exact"/>
        <w:ind w:firstLineChars="200" w:firstLine="640"/>
        <w:rPr>
          <w:sz w:val="32"/>
          <w:szCs w:val="32"/>
        </w:rPr>
      </w:pPr>
      <w:r>
        <w:rPr>
          <w:rFonts w:ascii="楷体_GB2312" w:eastAsia="楷体_GB2312" w:hint="eastAsia"/>
          <w:sz w:val="32"/>
          <w:szCs w:val="32"/>
        </w:rPr>
        <w:t>服务能力持续增强，有力夯实事业发展基础。</w:t>
      </w:r>
      <w:r>
        <w:rPr>
          <w:rFonts w:hint="eastAsia"/>
          <w:sz w:val="32"/>
          <w:szCs w:val="32"/>
        </w:rPr>
        <w:t>党建引领作用更加突出，主题教育取得重要成果，廉政建设扎实推进，“双标</w:t>
      </w:r>
      <w:r>
        <w:rPr>
          <w:rFonts w:hint="eastAsia"/>
          <w:sz w:val="32"/>
          <w:szCs w:val="32"/>
        </w:rPr>
        <w:t>工程”成为全市市直机关唯一示范点。市职介中心成功创建国家级“巾帼文明岗”。高质量完成脱贫攻坚目标任务，获评广东省脱贫攻坚先</w:t>
      </w:r>
      <w:r>
        <w:rPr>
          <w:sz w:val="32"/>
          <w:szCs w:val="32"/>
        </w:rPr>
        <w:t>进集体。行政许可事项</w:t>
      </w:r>
      <w:r>
        <w:rPr>
          <w:sz w:val="32"/>
          <w:szCs w:val="32"/>
        </w:rPr>
        <w:t>100%</w:t>
      </w:r>
      <w:r>
        <w:rPr>
          <w:sz w:val="32"/>
          <w:szCs w:val="32"/>
        </w:rPr>
        <w:t>实现全流程网办，</w:t>
      </w:r>
      <w:r>
        <w:rPr>
          <w:sz w:val="32"/>
          <w:szCs w:val="32"/>
        </w:rPr>
        <w:lastRenderedPageBreak/>
        <w:t>政务服务满意率达</w:t>
      </w:r>
      <w:r>
        <w:rPr>
          <w:sz w:val="32"/>
          <w:szCs w:val="32"/>
        </w:rPr>
        <w:t>99.98%</w:t>
      </w:r>
      <w:r>
        <w:rPr>
          <w:sz w:val="32"/>
          <w:szCs w:val="32"/>
        </w:rPr>
        <w:t>，莞城分局获评全国</w:t>
      </w:r>
      <w:r>
        <w:rPr>
          <w:sz w:val="32"/>
          <w:szCs w:val="32"/>
        </w:rPr>
        <w:t>“</w:t>
      </w:r>
      <w:r>
        <w:rPr>
          <w:sz w:val="32"/>
          <w:szCs w:val="32"/>
        </w:rPr>
        <w:t>优质服务窗口</w:t>
      </w:r>
      <w:r>
        <w:rPr>
          <w:sz w:val="32"/>
          <w:szCs w:val="32"/>
        </w:rPr>
        <w:t>”</w:t>
      </w:r>
      <w:r>
        <w:rPr>
          <w:sz w:val="32"/>
          <w:szCs w:val="32"/>
        </w:rPr>
        <w:t>。健全重大行政决策程序，依法行政水平进一步提升。</w:t>
      </w:r>
    </w:p>
    <w:tbl>
      <w:tblPr>
        <w:tblW w:w="84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2"/>
        <w:gridCol w:w="3219"/>
        <w:gridCol w:w="897"/>
        <w:gridCol w:w="1046"/>
        <w:gridCol w:w="1046"/>
        <w:gridCol w:w="1345"/>
      </w:tblGrid>
      <w:tr w:rsidR="000F7FAD">
        <w:trPr>
          <w:trHeight w:val="454"/>
          <w:jc w:val="center"/>
        </w:trPr>
        <w:tc>
          <w:tcPr>
            <w:tcW w:w="8435" w:type="dxa"/>
            <w:gridSpan w:val="6"/>
            <w:vAlign w:val="center"/>
          </w:tcPr>
          <w:p w:rsidR="000F7FAD" w:rsidRDefault="00BB4424">
            <w:pPr>
              <w:adjustRightInd w:val="0"/>
              <w:snapToGrid w:val="0"/>
              <w:spacing w:line="300" w:lineRule="exact"/>
              <w:jc w:val="center"/>
              <w:rPr>
                <w:rFonts w:eastAsia="黑体"/>
                <w:szCs w:val="30"/>
              </w:rPr>
            </w:pPr>
            <w:r>
              <w:rPr>
                <w:rFonts w:eastAsia="黑体"/>
                <w:szCs w:val="30"/>
              </w:rPr>
              <w:t>专栏</w:t>
            </w:r>
            <w:r>
              <w:rPr>
                <w:rFonts w:eastAsia="黑体"/>
                <w:szCs w:val="30"/>
              </w:rPr>
              <w:t xml:space="preserve">1  </w:t>
            </w:r>
            <w:r>
              <w:rPr>
                <w:rFonts w:eastAsia="黑体"/>
                <w:szCs w:val="30"/>
              </w:rPr>
              <w:t>“</w:t>
            </w:r>
            <w:r>
              <w:rPr>
                <w:rFonts w:eastAsia="黑体" w:hAnsi="黑体"/>
                <w:szCs w:val="30"/>
              </w:rPr>
              <w:t>十三五</w:t>
            </w:r>
            <w:r>
              <w:rPr>
                <w:rFonts w:eastAsia="黑体"/>
                <w:szCs w:val="30"/>
              </w:rPr>
              <w:t>”</w:t>
            </w:r>
            <w:r>
              <w:rPr>
                <w:rFonts w:eastAsia="黑体" w:hAnsi="黑体"/>
                <w:szCs w:val="30"/>
              </w:rPr>
              <w:t>时</w:t>
            </w:r>
            <w:r>
              <w:rPr>
                <w:rFonts w:eastAsia="黑体"/>
                <w:szCs w:val="30"/>
              </w:rPr>
              <w:t>期主要指标完成情况</w:t>
            </w:r>
          </w:p>
        </w:tc>
      </w:tr>
      <w:tr w:rsidR="000F7FAD">
        <w:trPr>
          <w:trHeight w:val="454"/>
          <w:jc w:val="center"/>
        </w:trPr>
        <w:tc>
          <w:tcPr>
            <w:tcW w:w="882" w:type="dxa"/>
            <w:vAlign w:val="center"/>
          </w:tcPr>
          <w:p w:rsidR="000F7FAD" w:rsidRDefault="00BB4424">
            <w:pPr>
              <w:adjustRightInd w:val="0"/>
              <w:snapToGrid w:val="0"/>
              <w:spacing w:line="300" w:lineRule="exact"/>
              <w:jc w:val="center"/>
              <w:rPr>
                <w:rFonts w:eastAsia="黑体"/>
                <w:sz w:val="24"/>
              </w:rPr>
            </w:pPr>
            <w:r>
              <w:rPr>
                <w:rFonts w:eastAsia="黑体"/>
                <w:sz w:val="24"/>
              </w:rPr>
              <w:t>序号</w:t>
            </w:r>
          </w:p>
        </w:tc>
        <w:tc>
          <w:tcPr>
            <w:tcW w:w="3219" w:type="dxa"/>
            <w:vAlign w:val="center"/>
          </w:tcPr>
          <w:p w:rsidR="000F7FAD" w:rsidRDefault="00BB4424">
            <w:pPr>
              <w:adjustRightInd w:val="0"/>
              <w:snapToGrid w:val="0"/>
              <w:spacing w:line="300" w:lineRule="exact"/>
              <w:jc w:val="center"/>
              <w:rPr>
                <w:rFonts w:eastAsia="黑体"/>
                <w:sz w:val="24"/>
              </w:rPr>
            </w:pPr>
            <w:r>
              <w:rPr>
                <w:rFonts w:eastAsia="黑体"/>
                <w:sz w:val="24"/>
              </w:rPr>
              <w:t>指标</w:t>
            </w:r>
          </w:p>
        </w:tc>
        <w:tc>
          <w:tcPr>
            <w:tcW w:w="897" w:type="dxa"/>
            <w:vAlign w:val="center"/>
          </w:tcPr>
          <w:p w:rsidR="000F7FAD" w:rsidRDefault="00BB4424">
            <w:pPr>
              <w:adjustRightInd w:val="0"/>
              <w:snapToGrid w:val="0"/>
              <w:spacing w:line="300" w:lineRule="exact"/>
              <w:jc w:val="center"/>
              <w:rPr>
                <w:rFonts w:eastAsia="黑体"/>
                <w:sz w:val="24"/>
              </w:rPr>
            </w:pPr>
            <w:r>
              <w:rPr>
                <w:rFonts w:eastAsia="黑体"/>
                <w:sz w:val="24"/>
              </w:rPr>
              <w:t>单位</w:t>
            </w:r>
          </w:p>
        </w:tc>
        <w:tc>
          <w:tcPr>
            <w:tcW w:w="1046" w:type="dxa"/>
            <w:vAlign w:val="center"/>
          </w:tcPr>
          <w:p w:rsidR="000F7FAD" w:rsidRDefault="00BB4424">
            <w:pPr>
              <w:adjustRightInd w:val="0"/>
              <w:snapToGrid w:val="0"/>
              <w:spacing w:line="300" w:lineRule="exact"/>
              <w:jc w:val="center"/>
              <w:rPr>
                <w:rFonts w:eastAsia="黑体"/>
                <w:sz w:val="24"/>
              </w:rPr>
            </w:pPr>
            <w:r>
              <w:rPr>
                <w:rFonts w:eastAsia="黑体"/>
                <w:sz w:val="24"/>
              </w:rPr>
              <w:t>2020</w:t>
            </w:r>
            <w:r>
              <w:rPr>
                <w:rFonts w:eastAsia="黑体"/>
                <w:sz w:val="24"/>
              </w:rPr>
              <w:t>年目标值</w:t>
            </w:r>
          </w:p>
        </w:tc>
        <w:tc>
          <w:tcPr>
            <w:tcW w:w="1046" w:type="dxa"/>
            <w:vAlign w:val="center"/>
          </w:tcPr>
          <w:p w:rsidR="000F7FAD" w:rsidRDefault="00BB4424">
            <w:pPr>
              <w:adjustRightInd w:val="0"/>
              <w:snapToGrid w:val="0"/>
              <w:spacing w:line="300" w:lineRule="exact"/>
              <w:jc w:val="center"/>
              <w:rPr>
                <w:rFonts w:eastAsia="黑体"/>
                <w:sz w:val="24"/>
              </w:rPr>
            </w:pPr>
            <w:r>
              <w:rPr>
                <w:rFonts w:eastAsia="黑体"/>
                <w:sz w:val="24"/>
              </w:rPr>
              <w:t>2020</w:t>
            </w:r>
            <w:r>
              <w:rPr>
                <w:rFonts w:eastAsia="黑体"/>
                <w:sz w:val="24"/>
              </w:rPr>
              <w:t>年完成值</w:t>
            </w:r>
          </w:p>
        </w:tc>
        <w:tc>
          <w:tcPr>
            <w:tcW w:w="1345" w:type="dxa"/>
            <w:vAlign w:val="center"/>
          </w:tcPr>
          <w:p w:rsidR="000F7FAD" w:rsidRDefault="00BB4424">
            <w:pPr>
              <w:adjustRightInd w:val="0"/>
              <w:snapToGrid w:val="0"/>
              <w:spacing w:line="300" w:lineRule="exact"/>
              <w:jc w:val="center"/>
              <w:rPr>
                <w:rFonts w:eastAsia="黑体"/>
                <w:sz w:val="24"/>
              </w:rPr>
            </w:pPr>
            <w:r>
              <w:rPr>
                <w:rFonts w:eastAsia="黑体"/>
                <w:sz w:val="24"/>
              </w:rPr>
              <w:t>属性</w:t>
            </w:r>
          </w:p>
        </w:tc>
      </w:tr>
      <w:tr w:rsidR="000F7FAD">
        <w:trPr>
          <w:trHeight w:val="454"/>
          <w:jc w:val="center"/>
        </w:trPr>
        <w:tc>
          <w:tcPr>
            <w:tcW w:w="8435" w:type="dxa"/>
            <w:gridSpan w:val="6"/>
            <w:vAlign w:val="center"/>
          </w:tcPr>
          <w:p w:rsidR="000F7FAD" w:rsidRDefault="00BB4424">
            <w:pPr>
              <w:adjustRightInd w:val="0"/>
              <w:snapToGrid w:val="0"/>
              <w:spacing w:line="300" w:lineRule="exact"/>
              <w:jc w:val="left"/>
              <w:rPr>
                <w:rFonts w:eastAsia="黑体"/>
                <w:sz w:val="21"/>
                <w:szCs w:val="21"/>
              </w:rPr>
            </w:pPr>
            <w:r>
              <w:rPr>
                <w:rFonts w:eastAsia="黑体"/>
                <w:sz w:val="21"/>
                <w:szCs w:val="21"/>
              </w:rPr>
              <w:t>一、就业</w:t>
            </w:r>
          </w:p>
        </w:tc>
      </w:tr>
      <w:tr w:rsidR="000F7FAD">
        <w:trPr>
          <w:trHeight w:val="454"/>
          <w:jc w:val="center"/>
        </w:trPr>
        <w:tc>
          <w:tcPr>
            <w:tcW w:w="882" w:type="dxa"/>
            <w:vAlign w:val="center"/>
          </w:tcPr>
          <w:p w:rsidR="000F7FAD" w:rsidRDefault="00BB4424">
            <w:pPr>
              <w:adjustRightInd w:val="0"/>
              <w:snapToGrid w:val="0"/>
              <w:spacing w:line="300" w:lineRule="exact"/>
              <w:jc w:val="center"/>
              <w:rPr>
                <w:sz w:val="21"/>
                <w:szCs w:val="21"/>
              </w:rPr>
            </w:pPr>
            <w:r>
              <w:rPr>
                <w:sz w:val="21"/>
                <w:szCs w:val="21"/>
              </w:rPr>
              <w:t>1</w:t>
            </w:r>
          </w:p>
        </w:tc>
        <w:tc>
          <w:tcPr>
            <w:tcW w:w="3219" w:type="dxa"/>
            <w:vAlign w:val="center"/>
          </w:tcPr>
          <w:p w:rsidR="000F7FAD" w:rsidRDefault="00BB4424">
            <w:pPr>
              <w:adjustRightInd w:val="0"/>
              <w:snapToGrid w:val="0"/>
              <w:spacing w:line="300" w:lineRule="exact"/>
              <w:jc w:val="left"/>
              <w:rPr>
                <w:sz w:val="21"/>
                <w:szCs w:val="21"/>
              </w:rPr>
            </w:pPr>
            <w:r>
              <w:rPr>
                <w:sz w:val="21"/>
                <w:szCs w:val="21"/>
              </w:rPr>
              <w:t>城镇新增就业人数</w:t>
            </w:r>
          </w:p>
        </w:tc>
        <w:tc>
          <w:tcPr>
            <w:tcW w:w="897" w:type="dxa"/>
            <w:vAlign w:val="center"/>
          </w:tcPr>
          <w:p w:rsidR="000F7FAD" w:rsidRDefault="00BB4424">
            <w:pPr>
              <w:adjustRightInd w:val="0"/>
              <w:snapToGrid w:val="0"/>
              <w:spacing w:line="300" w:lineRule="exact"/>
              <w:jc w:val="center"/>
              <w:rPr>
                <w:sz w:val="21"/>
                <w:szCs w:val="21"/>
              </w:rPr>
            </w:pPr>
            <w:r>
              <w:rPr>
                <w:sz w:val="21"/>
                <w:szCs w:val="21"/>
              </w:rPr>
              <w:t>万人</w:t>
            </w:r>
          </w:p>
        </w:tc>
        <w:tc>
          <w:tcPr>
            <w:tcW w:w="1046" w:type="dxa"/>
            <w:vAlign w:val="center"/>
          </w:tcPr>
          <w:p w:rsidR="000F7FAD" w:rsidRDefault="00BB4424">
            <w:pPr>
              <w:adjustRightInd w:val="0"/>
              <w:snapToGrid w:val="0"/>
              <w:spacing w:line="300" w:lineRule="exact"/>
              <w:jc w:val="center"/>
              <w:rPr>
                <w:sz w:val="21"/>
                <w:szCs w:val="21"/>
              </w:rPr>
            </w:pPr>
            <w:r>
              <w:rPr>
                <w:sz w:val="21"/>
                <w:szCs w:val="21"/>
              </w:rPr>
              <w:t>[36]</w:t>
            </w:r>
          </w:p>
        </w:tc>
        <w:tc>
          <w:tcPr>
            <w:tcW w:w="1046" w:type="dxa"/>
            <w:vAlign w:val="center"/>
          </w:tcPr>
          <w:p w:rsidR="000F7FAD" w:rsidRDefault="00BB4424">
            <w:pPr>
              <w:adjustRightInd w:val="0"/>
              <w:snapToGrid w:val="0"/>
              <w:spacing w:line="300" w:lineRule="exact"/>
              <w:jc w:val="center"/>
              <w:rPr>
                <w:sz w:val="21"/>
                <w:szCs w:val="21"/>
              </w:rPr>
            </w:pPr>
            <w:r>
              <w:rPr>
                <w:sz w:val="21"/>
                <w:szCs w:val="21"/>
              </w:rPr>
              <w:t>[45.34]</w:t>
            </w:r>
          </w:p>
        </w:tc>
        <w:tc>
          <w:tcPr>
            <w:tcW w:w="1345" w:type="dxa"/>
            <w:vAlign w:val="center"/>
          </w:tcPr>
          <w:p w:rsidR="000F7FAD" w:rsidRDefault="00BB4424">
            <w:pPr>
              <w:adjustRightInd w:val="0"/>
              <w:snapToGrid w:val="0"/>
              <w:spacing w:line="300" w:lineRule="exact"/>
              <w:jc w:val="center"/>
              <w:rPr>
                <w:sz w:val="21"/>
                <w:szCs w:val="21"/>
              </w:rPr>
            </w:pPr>
            <w:r>
              <w:rPr>
                <w:sz w:val="21"/>
                <w:szCs w:val="21"/>
              </w:rPr>
              <w:t>预期性</w:t>
            </w:r>
          </w:p>
        </w:tc>
      </w:tr>
      <w:tr w:rsidR="000F7FAD">
        <w:trPr>
          <w:trHeight w:val="454"/>
          <w:jc w:val="center"/>
        </w:trPr>
        <w:tc>
          <w:tcPr>
            <w:tcW w:w="882" w:type="dxa"/>
            <w:vAlign w:val="center"/>
          </w:tcPr>
          <w:p w:rsidR="000F7FAD" w:rsidRDefault="00BB4424">
            <w:pPr>
              <w:adjustRightInd w:val="0"/>
              <w:snapToGrid w:val="0"/>
              <w:spacing w:line="300" w:lineRule="exact"/>
              <w:jc w:val="center"/>
              <w:rPr>
                <w:sz w:val="21"/>
                <w:szCs w:val="21"/>
              </w:rPr>
            </w:pPr>
            <w:r>
              <w:rPr>
                <w:sz w:val="21"/>
                <w:szCs w:val="21"/>
              </w:rPr>
              <w:t>2</w:t>
            </w:r>
          </w:p>
        </w:tc>
        <w:tc>
          <w:tcPr>
            <w:tcW w:w="3219" w:type="dxa"/>
            <w:vAlign w:val="center"/>
          </w:tcPr>
          <w:p w:rsidR="000F7FAD" w:rsidRDefault="00BB4424">
            <w:pPr>
              <w:adjustRightInd w:val="0"/>
              <w:snapToGrid w:val="0"/>
              <w:spacing w:line="300" w:lineRule="exact"/>
              <w:jc w:val="left"/>
              <w:rPr>
                <w:sz w:val="21"/>
                <w:szCs w:val="21"/>
              </w:rPr>
            </w:pPr>
            <w:r>
              <w:rPr>
                <w:sz w:val="21"/>
                <w:szCs w:val="21"/>
              </w:rPr>
              <w:t>城镇登记失业率</w:t>
            </w:r>
          </w:p>
        </w:tc>
        <w:tc>
          <w:tcPr>
            <w:tcW w:w="897" w:type="dxa"/>
            <w:vAlign w:val="center"/>
          </w:tcPr>
          <w:p w:rsidR="000F7FAD" w:rsidRDefault="00BB4424">
            <w:pPr>
              <w:adjustRightInd w:val="0"/>
              <w:snapToGrid w:val="0"/>
              <w:spacing w:line="300" w:lineRule="exact"/>
              <w:jc w:val="center"/>
              <w:rPr>
                <w:sz w:val="21"/>
                <w:szCs w:val="21"/>
              </w:rPr>
            </w:pPr>
            <w:r>
              <w:rPr>
                <w:sz w:val="21"/>
                <w:szCs w:val="21"/>
              </w:rPr>
              <w:t>%</w:t>
            </w:r>
          </w:p>
        </w:tc>
        <w:tc>
          <w:tcPr>
            <w:tcW w:w="1046" w:type="dxa"/>
            <w:vAlign w:val="center"/>
          </w:tcPr>
          <w:p w:rsidR="000F7FAD" w:rsidRDefault="00BB4424">
            <w:pPr>
              <w:adjustRightInd w:val="0"/>
              <w:snapToGrid w:val="0"/>
              <w:spacing w:line="300" w:lineRule="exact"/>
              <w:jc w:val="center"/>
              <w:rPr>
                <w:sz w:val="21"/>
                <w:szCs w:val="21"/>
              </w:rPr>
            </w:pPr>
            <w:r>
              <w:rPr>
                <w:sz w:val="21"/>
                <w:szCs w:val="21"/>
              </w:rPr>
              <w:t>&lt;3</w:t>
            </w:r>
          </w:p>
        </w:tc>
        <w:tc>
          <w:tcPr>
            <w:tcW w:w="1046" w:type="dxa"/>
            <w:vAlign w:val="center"/>
          </w:tcPr>
          <w:p w:rsidR="000F7FAD" w:rsidRDefault="00BB4424">
            <w:pPr>
              <w:adjustRightInd w:val="0"/>
              <w:snapToGrid w:val="0"/>
              <w:spacing w:line="300" w:lineRule="exact"/>
              <w:jc w:val="center"/>
              <w:rPr>
                <w:sz w:val="21"/>
                <w:szCs w:val="21"/>
              </w:rPr>
            </w:pPr>
            <w:r>
              <w:rPr>
                <w:sz w:val="21"/>
                <w:szCs w:val="21"/>
              </w:rPr>
              <w:t>2.18</w:t>
            </w:r>
          </w:p>
        </w:tc>
        <w:tc>
          <w:tcPr>
            <w:tcW w:w="1345" w:type="dxa"/>
            <w:vAlign w:val="center"/>
          </w:tcPr>
          <w:p w:rsidR="000F7FAD" w:rsidRDefault="00BB4424">
            <w:pPr>
              <w:adjustRightInd w:val="0"/>
              <w:snapToGrid w:val="0"/>
              <w:spacing w:line="300" w:lineRule="exact"/>
              <w:jc w:val="center"/>
              <w:rPr>
                <w:sz w:val="21"/>
                <w:szCs w:val="21"/>
              </w:rPr>
            </w:pPr>
            <w:r>
              <w:rPr>
                <w:sz w:val="21"/>
                <w:szCs w:val="21"/>
              </w:rPr>
              <w:t>预期性</w:t>
            </w:r>
          </w:p>
        </w:tc>
      </w:tr>
      <w:tr w:rsidR="000F7FAD">
        <w:trPr>
          <w:trHeight w:val="454"/>
          <w:jc w:val="center"/>
        </w:trPr>
        <w:tc>
          <w:tcPr>
            <w:tcW w:w="882" w:type="dxa"/>
            <w:vAlign w:val="center"/>
          </w:tcPr>
          <w:p w:rsidR="000F7FAD" w:rsidRDefault="00BB4424">
            <w:pPr>
              <w:adjustRightInd w:val="0"/>
              <w:snapToGrid w:val="0"/>
              <w:spacing w:line="300" w:lineRule="exact"/>
              <w:jc w:val="center"/>
              <w:rPr>
                <w:sz w:val="21"/>
                <w:szCs w:val="21"/>
              </w:rPr>
            </w:pPr>
            <w:r>
              <w:rPr>
                <w:sz w:val="21"/>
                <w:szCs w:val="21"/>
              </w:rPr>
              <w:t>3</w:t>
            </w:r>
          </w:p>
        </w:tc>
        <w:tc>
          <w:tcPr>
            <w:tcW w:w="3219" w:type="dxa"/>
            <w:vAlign w:val="center"/>
          </w:tcPr>
          <w:p w:rsidR="000F7FAD" w:rsidRDefault="00BB4424">
            <w:pPr>
              <w:adjustRightInd w:val="0"/>
              <w:snapToGrid w:val="0"/>
              <w:spacing w:line="300" w:lineRule="exact"/>
              <w:jc w:val="left"/>
              <w:rPr>
                <w:sz w:val="21"/>
                <w:szCs w:val="21"/>
              </w:rPr>
            </w:pPr>
            <w:r>
              <w:rPr>
                <w:sz w:val="21"/>
                <w:szCs w:val="21"/>
              </w:rPr>
              <w:t>就业创业服务率</w:t>
            </w:r>
          </w:p>
        </w:tc>
        <w:tc>
          <w:tcPr>
            <w:tcW w:w="897" w:type="dxa"/>
            <w:vAlign w:val="center"/>
          </w:tcPr>
          <w:p w:rsidR="000F7FAD" w:rsidRDefault="00BB4424">
            <w:pPr>
              <w:adjustRightInd w:val="0"/>
              <w:snapToGrid w:val="0"/>
              <w:spacing w:line="300" w:lineRule="exact"/>
              <w:jc w:val="center"/>
              <w:rPr>
                <w:sz w:val="21"/>
                <w:szCs w:val="21"/>
              </w:rPr>
            </w:pPr>
            <w:r>
              <w:rPr>
                <w:sz w:val="21"/>
                <w:szCs w:val="21"/>
              </w:rPr>
              <w:t>%</w:t>
            </w:r>
          </w:p>
        </w:tc>
        <w:tc>
          <w:tcPr>
            <w:tcW w:w="1046" w:type="dxa"/>
            <w:vAlign w:val="center"/>
          </w:tcPr>
          <w:p w:rsidR="000F7FAD" w:rsidRDefault="00BB4424">
            <w:pPr>
              <w:adjustRightInd w:val="0"/>
              <w:snapToGrid w:val="0"/>
              <w:spacing w:line="300" w:lineRule="exact"/>
              <w:jc w:val="center"/>
              <w:rPr>
                <w:sz w:val="21"/>
                <w:szCs w:val="21"/>
              </w:rPr>
            </w:pPr>
            <w:r>
              <w:rPr>
                <w:sz w:val="21"/>
                <w:szCs w:val="21"/>
              </w:rPr>
              <w:t>100</w:t>
            </w:r>
          </w:p>
        </w:tc>
        <w:tc>
          <w:tcPr>
            <w:tcW w:w="1046" w:type="dxa"/>
            <w:vAlign w:val="center"/>
          </w:tcPr>
          <w:p w:rsidR="000F7FAD" w:rsidRDefault="00BB4424">
            <w:pPr>
              <w:adjustRightInd w:val="0"/>
              <w:snapToGrid w:val="0"/>
              <w:spacing w:line="300" w:lineRule="exact"/>
              <w:jc w:val="center"/>
              <w:rPr>
                <w:sz w:val="21"/>
                <w:szCs w:val="21"/>
              </w:rPr>
            </w:pPr>
            <w:r>
              <w:rPr>
                <w:sz w:val="21"/>
                <w:szCs w:val="21"/>
              </w:rPr>
              <w:t>100</w:t>
            </w:r>
          </w:p>
        </w:tc>
        <w:tc>
          <w:tcPr>
            <w:tcW w:w="1345" w:type="dxa"/>
            <w:vAlign w:val="center"/>
          </w:tcPr>
          <w:p w:rsidR="000F7FAD" w:rsidRDefault="00BB4424">
            <w:pPr>
              <w:spacing w:line="300" w:lineRule="exact"/>
              <w:jc w:val="center"/>
              <w:rPr>
                <w:sz w:val="21"/>
                <w:szCs w:val="21"/>
              </w:rPr>
            </w:pPr>
            <w:r>
              <w:rPr>
                <w:sz w:val="21"/>
                <w:szCs w:val="21"/>
              </w:rPr>
              <w:t>预期性</w:t>
            </w:r>
          </w:p>
        </w:tc>
      </w:tr>
      <w:tr w:rsidR="000F7FAD">
        <w:trPr>
          <w:trHeight w:val="454"/>
          <w:jc w:val="center"/>
        </w:trPr>
        <w:tc>
          <w:tcPr>
            <w:tcW w:w="882" w:type="dxa"/>
            <w:vAlign w:val="center"/>
          </w:tcPr>
          <w:p w:rsidR="000F7FAD" w:rsidRDefault="00BB4424">
            <w:pPr>
              <w:adjustRightInd w:val="0"/>
              <w:snapToGrid w:val="0"/>
              <w:spacing w:line="300" w:lineRule="exact"/>
              <w:jc w:val="center"/>
              <w:rPr>
                <w:sz w:val="21"/>
                <w:szCs w:val="21"/>
              </w:rPr>
            </w:pPr>
            <w:r>
              <w:rPr>
                <w:sz w:val="21"/>
                <w:szCs w:val="21"/>
              </w:rPr>
              <w:t>4</w:t>
            </w:r>
          </w:p>
        </w:tc>
        <w:tc>
          <w:tcPr>
            <w:tcW w:w="3219" w:type="dxa"/>
            <w:vAlign w:val="center"/>
          </w:tcPr>
          <w:p w:rsidR="000F7FAD" w:rsidRDefault="00BB4424">
            <w:pPr>
              <w:adjustRightInd w:val="0"/>
              <w:snapToGrid w:val="0"/>
              <w:spacing w:line="300" w:lineRule="exact"/>
              <w:jc w:val="left"/>
              <w:rPr>
                <w:sz w:val="21"/>
                <w:szCs w:val="21"/>
              </w:rPr>
            </w:pPr>
            <w:r>
              <w:rPr>
                <w:sz w:val="21"/>
                <w:szCs w:val="21"/>
              </w:rPr>
              <w:t>高校毕业生初次就业率</w:t>
            </w:r>
          </w:p>
        </w:tc>
        <w:tc>
          <w:tcPr>
            <w:tcW w:w="897" w:type="dxa"/>
            <w:vAlign w:val="center"/>
          </w:tcPr>
          <w:p w:rsidR="000F7FAD" w:rsidRDefault="00BB4424">
            <w:pPr>
              <w:adjustRightInd w:val="0"/>
              <w:snapToGrid w:val="0"/>
              <w:spacing w:line="300" w:lineRule="exact"/>
              <w:jc w:val="center"/>
              <w:rPr>
                <w:sz w:val="21"/>
                <w:szCs w:val="21"/>
              </w:rPr>
            </w:pPr>
            <w:r>
              <w:rPr>
                <w:sz w:val="21"/>
                <w:szCs w:val="21"/>
              </w:rPr>
              <w:t>%</w:t>
            </w:r>
          </w:p>
        </w:tc>
        <w:tc>
          <w:tcPr>
            <w:tcW w:w="1046" w:type="dxa"/>
            <w:vAlign w:val="center"/>
          </w:tcPr>
          <w:p w:rsidR="000F7FAD" w:rsidRDefault="00BB4424">
            <w:pPr>
              <w:adjustRightInd w:val="0"/>
              <w:snapToGrid w:val="0"/>
              <w:spacing w:line="300" w:lineRule="exact"/>
              <w:jc w:val="center"/>
              <w:rPr>
                <w:sz w:val="21"/>
                <w:szCs w:val="21"/>
              </w:rPr>
            </w:pPr>
            <w:r>
              <w:rPr>
                <w:sz w:val="21"/>
                <w:szCs w:val="21"/>
              </w:rPr>
              <w:t>&gt;95</w:t>
            </w:r>
          </w:p>
        </w:tc>
        <w:tc>
          <w:tcPr>
            <w:tcW w:w="1046" w:type="dxa"/>
            <w:vAlign w:val="center"/>
          </w:tcPr>
          <w:p w:rsidR="000F7FAD" w:rsidRDefault="00BB4424">
            <w:pPr>
              <w:adjustRightInd w:val="0"/>
              <w:snapToGrid w:val="0"/>
              <w:spacing w:line="300" w:lineRule="exact"/>
              <w:jc w:val="center"/>
              <w:rPr>
                <w:sz w:val="21"/>
                <w:szCs w:val="21"/>
              </w:rPr>
            </w:pPr>
            <w:r>
              <w:rPr>
                <w:sz w:val="21"/>
                <w:szCs w:val="21"/>
              </w:rPr>
              <w:t>99.8</w:t>
            </w:r>
          </w:p>
        </w:tc>
        <w:tc>
          <w:tcPr>
            <w:tcW w:w="1345" w:type="dxa"/>
            <w:vAlign w:val="center"/>
          </w:tcPr>
          <w:p w:rsidR="000F7FAD" w:rsidRDefault="00BB4424">
            <w:pPr>
              <w:spacing w:line="300" w:lineRule="exact"/>
              <w:jc w:val="center"/>
              <w:rPr>
                <w:sz w:val="21"/>
                <w:szCs w:val="21"/>
              </w:rPr>
            </w:pPr>
            <w:r>
              <w:rPr>
                <w:sz w:val="21"/>
                <w:szCs w:val="21"/>
              </w:rPr>
              <w:t>预期性</w:t>
            </w:r>
          </w:p>
        </w:tc>
      </w:tr>
      <w:tr w:rsidR="000F7FAD">
        <w:trPr>
          <w:trHeight w:val="454"/>
          <w:jc w:val="center"/>
        </w:trPr>
        <w:tc>
          <w:tcPr>
            <w:tcW w:w="8435" w:type="dxa"/>
            <w:gridSpan w:val="6"/>
            <w:vAlign w:val="center"/>
          </w:tcPr>
          <w:p w:rsidR="000F7FAD" w:rsidRDefault="00BB4424">
            <w:pPr>
              <w:spacing w:line="300" w:lineRule="exact"/>
              <w:jc w:val="left"/>
              <w:rPr>
                <w:rFonts w:eastAsia="黑体"/>
                <w:sz w:val="21"/>
                <w:szCs w:val="21"/>
              </w:rPr>
            </w:pPr>
            <w:r>
              <w:rPr>
                <w:rFonts w:eastAsia="黑体"/>
                <w:sz w:val="21"/>
                <w:szCs w:val="21"/>
              </w:rPr>
              <w:t>二、创业</w:t>
            </w:r>
          </w:p>
        </w:tc>
      </w:tr>
      <w:tr w:rsidR="000F7FAD">
        <w:trPr>
          <w:trHeight w:val="287"/>
          <w:jc w:val="center"/>
        </w:trPr>
        <w:tc>
          <w:tcPr>
            <w:tcW w:w="882" w:type="dxa"/>
            <w:vAlign w:val="center"/>
          </w:tcPr>
          <w:p w:rsidR="000F7FAD" w:rsidRDefault="00BB4424">
            <w:pPr>
              <w:adjustRightInd w:val="0"/>
              <w:snapToGrid w:val="0"/>
              <w:spacing w:line="300" w:lineRule="exact"/>
              <w:jc w:val="center"/>
              <w:rPr>
                <w:sz w:val="21"/>
                <w:szCs w:val="21"/>
              </w:rPr>
            </w:pPr>
            <w:r>
              <w:rPr>
                <w:sz w:val="21"/>
                <w:szCs w:val="21"/>
              </w:rPr>
              <w:t>5</w:t>
            </w:r>
          </w:p>
        </w:tc>
        <w:tc>
          <w:tcPr>
            <w:tcW w:w="3219" w:type="dxa"/>
            <w:vAlign w:val="center"/>
          </w:tcPr>
          <w:p w:rsidR="000F7FAD" w:rsidRDefault="00BB4424">
            <w:pPr>
              <w:adjustRightInd w:val="0"/>
              <w:snapToGrid w:val="0"/>
              <w:spacing w:line="300" w:lineRule="exact"/>
              <w:jc w:val="left"/>
              <w:rPr>
                <w:sz w:val="21"/>
                <w:szCs w:val="21"/>
              </w:rPr>
            </w:pPr>
            <w:r>
              <w:rPr>
                <w:sz w:val="21"/>
                <w:szCs w:val="21"/>
              </w:rPr>
              <w:t>创业培训人数</w:t>
            </w:r>
          </w:p>
        </w:tc>
        <w:tc>
          <w:tcPr>
            <w:tcW w:w="897" w:type="dxa"/>
            <w:vAlign w:val="center"/>
          </w:tcPr>
          <w:p w:rsidR="000F7FAD" w:rsidRDefault="00BB4424">
            <w:pPr>
              <w:adjustRightInd w:val="0"/>
              <w:snapToGrid w:val="0"/>
              <w:spacing w:line="300" w:lineRule="exact"/>
              <w:jc w:val="center"/>
              <w:rPr>
                <w:sz w:val="21"/>
                <w:szCs w:val="21"/>
              </w:rPr>
            </w:pPr>
            <w:r>
              <w:rPr>
                <w:sz w:val="21"/>
                <w:szCs w:val="21"/>
              </w:rPr>
              <w:t>万人次</w:t>
            </w:r>
          </w:p>
        </w:tc>
        <w:tc>
          <w:tcPr>
            <w:tcW w:w="1046" w:type="dxa"/>
            <w:vAlign w:val="center"/>
          </w:tcPr>
          <w:p w:rsidR="000F7FAD" w:rsidRDefault="00BB4424">
            <w:pPr>
              <w:adjustRightInd w:val="0"/>
              <w:snapToGrid w:val="0"/>
              <w:spacing w:line="300" w:lineRule="exact"/>
              <w:jc w:val="center"/>
              <w:rPr>
                <w:sz w:val="21"/>
                <w:szCs w:val="21"/>
              </w:rPr>
            </w:pPr>
            <w:r>
              <w:rPr>
                <w:sz w:val="21"/>
                <w:szCs w:val="21"/>
              </w:rPr>
              <w:t>[10]</w:t>
            </w:r>
          </w:p>
        </w:tc>
        <w:tc>
          <w:tcPr>
            <w:tcW w:w="1046" w:type="dxa"/>
            <w:vAlign w:val="center"/>
          </w:tcPr>
          <w:p w:rsidR="000F7FAD" w:rsidRDefault="00BB4424">
            <w:pPr>
              <w:adjustRightInd w:val="0"/>
              <w:snapToGrid w:val="0"/>
              <w:spacing w:line="300" w:lineRule="exact"/>
              <w:jc w:val="center"/>
              <w:rPr>
                <w:sz w:val="21"/>
                <w:szCs w:val="21"/>
              </w:rPr>
            </w:pPr>
            <w:r>
              <w:rPr>
                <w:sz w:val="21"/>
                <w:szCs w:val="21"/>
              </w:rPr>
              <w:t>[11.5]</w:t>
            </w:r>
          </w:p>
        </w:tc>
        <w:tc>
          <w:tcPr>
            <w:tcW w:w="1345" w:type="dxa"/>
            <w:vAlign w:val="center"/>
          </w:tcPr>
          <w:p w:rsidR="000F7FAD" w:rsidRDefault="00BB4424">
            <w:pPr>
              <w:spacing w:line="300" w:lineRule="exact"/>
              <w:jc w:val="center"/>
              <w:rPr>
                <w:sz w:val="21"/>
                <w:szCs w:val="21"/>
              </w:rPr>
            </w:pPr>
            <w:r>
              <w:rPr>
                <w:sz w:val="21"/>
                <w:szCs w:val="21"/>
              </w:rPr>
              <w:t>预期性</w:t>
            </w:r>
          </w:p>
        </w:tc>
      </w:tr>
      <w:tr w:rsidR="000F7FAD">
        <w:trPr>
          <w:trHeight w:val="454"/>
          <w:jc w:val="center"/>
        </w:trPr>
        <w:tc>
          <w:tcPr>
            <w:tcW w:w="882" w:type="dxa"/>
            <w:vAlign w:val="center"/>
          </w:tcPr>
          <w:p w:rsidR="000F7FAD" w:rsidRDefault="00BB4424">
            <w:pPr>
              <w:adjustRightInd w:val="0"/>
              <w:snapToGrid w:val="0"/>
              <w:spacing w:line="300" w:lineRule="exact"/>
              <w:jc w:val="center"/>
              <w:rPr>
                <w:sz w:val="21"/>
                <w:szCs w:val="21"/>
              </w:rPr>
            </w:pPr>
            <w:r>
              <w:rPr>
                <w:sz w:val="21"/>
                <w:szCs w:val="21"/>
              </w:rPr>
              <w:t>6</w:t>
            </w:r>
          </w:p>
        </w:tc>
        <w:tc>
          <w:tcPr>
            <w:tcW w:w="3219" w:type="dxa"/>
            <w:vAlign w:val="center"/>
          </w:tcPr>
          <w:p w:rsidR="000F7FAD" w:rsidRDefault="00BB4424">
            <w:pPr>
              <w:adjustRightInd w:val="0"/>
              <w:snapToGrid w:val="0"/>
              <w:spacing w:line="300" w:lineRule="exact"/>
              <w:jc w:val="left"/>
              <w:rPr>
                <w:sz w:val="21"/>
                <w:szCs w:val="21"/>
              </w:rPr>
            </w:pPr>
            <w:r>
              <w:rPr>
                <w:sz w:val="21"/>
                <w:szCs w:val="21"/>
              </w:rPr>
              <w:t>创业孵化基地个数</w:t>
            </w:r>
          </w:p>
        </w:tc>
        <w:tc>
          <w:tcPr>
            <w:tcW w:w="897" w:type="dxa"/>
            <w:vAlign w:val="center"/>
          </w:tcPr>
          <w:p w:rsidR="000F7FAD" w:rsidRDefault="00BB4424">
            <w:pPr>
              <w:adjustRightInd w:val="0"/>
              <w:snapToGrid w:val="0"/>
              <w:spacing w:line="300" w:lineRule="exact"/>
              <w:jc w:val="center"/>
              <w:rPr>
                <w:sz w:val="21"/>
                <w:szCs w:val="21"/>
              </w:rPr>
            </w:pPr>
            <w:r>
              <w:rPr>
                <w:sz w:val="21"/>
                <w:szCs w:val="21"/>
              </w:rPr>
              <w:t>个</w:t>
            </w:r>
          </w:p>
        </w:tc>
        <w:tc>
          <w:tcPr>
            <w:tcW w:w="1046" w:type="dxa"/>
            <w:vAlign w:val="center"/>
          </w:tcPr>
          <w:p w:rsidR="000F7FAD" w:rsidRDefault="00BB4424">
            <w:pPr>
              <w:adjustRightInd w:val="0"/>
              <w:snapToGrid w:val="0"/>
              <w:spacing w:line="300" w:lineRule="exact"/>
              <w:jc w:val="center"/>
              <w:rPr>
                <w:sz w:val="21"/>
                <w:szCs w:val="21"/>
              </w:rPr>
            </w:pPr>
            <w:r>
              <w:rPr>
                <w:sz w:val="21"/>
                <w:szCs w:val="21"/>
              </w:rPr>
              <w:t>50</w:t>
            </w:r>
          </w:p>
        </w:tc>
        <w:tc>
          <w:tcPr>
            <w:tcW w:w="1046" w:type="dxa"/>
            <w:vAlign w:val="center"/>
          </w:tcPr>
          <w:p w:rsidR="000F7FAD" w:rsidRDefault="00BB4424">
            <w:pPr>
              <w:adjustRightInd w:val="0"/>
              <w:snapToGrid w:val="0"/>
              <w:spacing w:line="300" w:lineRule="exact"/>
              <w:jc w:val="center"/>
              <w:rPr>
                <w:sz w:val="21"/>
                <w:szCs w:val="21"/>
              </w:rPr>
            </w:pPr>
            <w:r>
              <w:rPr>
                <w:sz w:val="21"/>
                <w:szCs w:val="21"/>
              </w:rPr>
              <w:t>50</w:t>
            </w:r>
          </w:p>
        </w:tc>
        <w:tc>
          <w:tcPr>
            <w:tcW w:w="1345" w:type="dxa"/>
            <w:vAlign w:val="center"/>
          </w:tcPr>
          <w:p w:rsidR="000F7FAD" w:rsidRDefault="00BB4424">
            <w:pPr>
              <w:spacing w:line="300" w:lineRule="exact"/>
              <w:jc w:val="center"/>
              <w:rPr>
                <w:sz w:val="21"/>
                <w:szCs w:val="21"/>
              </w:rPr>
            </w:pPr>
            <w:r>
              <w:rPr>
                <w:sz w:val="21"/>
                <w:szCs w:val="21"/>
              </w:rPr>
              <w:t>预期性</w:t>
            </w:r>
          </w:p>
        </w:tc>
      </w:tr>
      <w:tr w:rsidR="000F7FAD">
        <w:trPr>
          <w:trHeight w:val="454"/>
          <w:jc w:val="center"/>
        </w:trPr>
        <w:tc>
          <w:tcPr>
            <w:tcW w:w="8435" w:type="dxa"/>
            <w:gridSpan w:val="6"/>
            <w:vAlign w:val="center"/>
          </w:tcPr>
          <w:p w:rsidR="000F7FAD" w:rsidRDefault="00BB4424">
            <w:pPr>
              <w:adjustRightInd w:val="0"/>
              <w:snapToGrid w:val="0"/>
              <w:spacing w:line="300" w:lineRule="exact"/>
              <w:jc w:val="left"/>
              <w:rPr>
                <w:rFonts w:eastAsia="黑体"/>
                <w:sz w:val="21"/>
                <w:szCs w:val="21"/>
              </w:rPr>
            </w:pPr>
            <w:r>
              <w:rPr>
                <w:rFonts w:eastAsia="黑体"/>
                <w:sz w:val="21"/>
                <w:szCs w:val="21"/>
              </w:rPr>
              <w:t>三、社会保险</w:t>
            </w:r>
          </w:p>
        </w:tc>
      </w:tr>
      <w:tr w:rsidR="000F7FAD">
        <w:trPr>
          <w:trHeight w:val="454"/>
          <w:jc w:val="center"/>
        </w:trPr>
        <w:tc>
          <w:tcPr>
            <w:tcW w:w="882" w:type="dxa"/>
            <w:vAlign w:val="center"/>
          </w:tcPr>
          <w:p w:rsidR="000F7FAD" w:rsidRDefault="00BB4424">
            <w:pPr>
              <w:adjustRightInd w:val="0"/>
              <w:snapToGrid w:val="0"/>
              <w:spacing w:line="300" w:lineRule="exact"/>
              <w:jc w:val="center"/>
              <w:rPr>
                <w:sz w:val="21"/>
                <w:szCs w:val="21"/>
              </w:rPr>
            </w:pPr>
            <w:r>
              <w:rPr>
                <w:sz w:val="21"/>
                <w:szCs w:val="21"/>
              </w:rPr>
              <w:t>7</w:t>
            </w:r>
          </w:p>
        </w:tc>
        <w:tc>
          <w:tcPr>
            <w:tcW w:w="3219" w:type="dxa"/>
            <w:vAlign w:val="center"/>
          </w:tcPr>
          <w:p w:rsidR="000F7FAD" w:rsidRDefault="00BB4424">
            <w:pPr>
              <w:adjustRightInd w:val="0"/>
              <w:snapToGrid w:val="0"/>
              <w:spacing w:line="300" w:lineRule="exact"/>
              <w:jc w:val="left"/>
              <w:rPr>
                <w:sz w:val="21"/>
                <w:szCs w:val="21"/>
              </w:rPr>
            </w:pPr>
            <w:r>
              <w:rPr>
                <w:sz w:val="21"/>
                <w:szCs w:val="21"/>
              </w:rPr>
              <w:t>城镇职工基本养老保险参保人数</w:t>
            </w:r>
          </w:p>
        </w:tc>
        <w:tc>
          <w:tcPr>
            <w:tcW w:w="897" w:type="dxa"/>
            <w:vAlign w:val="center"/>
          </w:tcPr>
          <w:p w:rsidR="000F7FAD" w:rsidRDefault="00BB4424">
            <w:pPr>
              <w:adjustRightInd w:val="0"/>
              <w:snapToGrid w:val="0"/>
              <w:spacing w:line="300" w:lineRule="exact"/>
              <w:jc w:val="center"/>
              <w:rPr>
                <w:sz w:val="21"/>
                <w:szCs w:val="21"/>
              </w:rPr>
            </w:pPr>
            <w:r>
              <w:rPr>
                <w:sz w:val="21"/>
                <w:szCs w:val="21"/>
              </w:rPr>
              <w:t>万人</w:t>
            </w:r>
          </w:p>
        </w:tc>
        <w:tc>
          <w:tcPr>
            <w:tcW w:w="1046" w:type="dxa"/>
            <w:vAlign w:val="center"/>
          </w:tcPr>
          <w:p w:rsidR="000F7FAD" w:rsidRDefault="00BB4424">
            <w:pPr>
              <w:adjustRightInd w:val="0"/>
              <w:snapToGrid w:val="0"/>
              <w:spacing w:line="300" w:lineRule="exact"/>
              <w:jc w:val="center"/>
              <w:rPr>
                <w:sz w:val="21"/>
                <w:szCs w:val="21"/>
              </w:rPr>
            </w:pPr>
            <w:r>
              <w:rPr>
                <w:rFonts w:hint="eastAsia"/>
                <w:sz w:val="21"/>
                <w:szCs w:val="21"/>
              </w:rPr>
              <w:t>588.87</w:t>
            </w:r>
          </w:p>
        </w:tc>
        <w:tc>
          <w:tcPr>
            <w:tcW w:w="1046" w:type="dxa"/>
            <w:vAlign w:val="center"/>
          </w:tcPr>
          <w:p w:rsidR="000F7FAD" w:rsidRDefault="00BB4424">
            <w:pPr>
              <w:adjustRightInd w:val="0"/>
              <w:snapToGrid w:val="0"/>
              <w:spacing w:line="300" w:lineRule="exact"/>
              <w:jc w:val="center"/>
              <w:rPr>
                <w:sz w:val="21"/>
                <w:szCs w:val="21"/>
              </w:rPr>
            </w:pPr>
            <w:r>
              <w:rPr>
                <w:rFonts w:hint="eastAsia"/>
                <w:sz w:val="21"/>
                <w:szCs w:val="21"/>
              </w:rPr>
              <w:t>590.95</w:t>
            </w:r>
          </w:p>
        </w:tc>
        <w:tc>
          <w:tcPr>
            <w:tcW w:w="1345" w:type="dxa"/>
            <w:vAlign w:val="center"/>
          </w:tcPr>
          <w:p w:rsidR="000F7FAD" w:rsidRDefault="00BB4424">
            <w:pPr>
              <w:spacing w:line="300" w:lineRule="exact"/>
              <w:jc w:val="center"/>
              <w:rPr>
                <w:sz w:val="21"/>
                <w:szCs w:val="21"/>
              </w:rPr>
            </w:pPr>
            <w:r>
              <w:rPr>
                <w:sz w:val="21"/>
                <w:szCs w:val="21"/>
              </w:rPr>
              <w:t>预期性</w:t>
            </w:r>
          </w:p>
        </w:tc>
      </w:tr>
      <w:tr w:rsidR="000F7FAD">
        <w:trPr>
          <w:trHeight w:val="454"/>
          <w:jc w:val="center"/>
        </w:trPr>
        <w:tc>
          <w:tcPr>
            <w:tcW w:w="882" w:type="dxa"/>
            <w:vAlign w:val="center"/>
          </w:tcPr>
          <w:p w:rsidR="000F7FAD" w:rsidRDefault="00BB4424">
            <w:pPr>
              <w:adjustRightInd w:val="0"/>
              <w:snapToGrid w:val="0"/>
              <w:spacing w:line="300" w:lineRule="exact"/>
              <w:jc w:val="center"/>
              <w:rPr>
                <w:sz w:val="21"/>
                <w:szCs w:val="21"/>
              </w:rPr>
            </w:pPr>
            <w:r>
              <w:rPr>
                <w:sz w:val="21"/>
                <w:szCs w:val="21"/>
              </w:rPr>
              <w:t>8</w:t>
            </w:r>
          </w:p>
        </w:tc>
        <w:tc>
          <w:tcPr>
            <w:tcW w:w="3219" w:type="dxa"/>
            <w:vAlign w:val="center"/>
          </w:tcPr>
          <w:p w:rsidR="000F7FAD" w:rsidRDefault="00BB4424">
            <w:pPr>
              <w:adjustRightInd w:val="0"/>
              <w:snapToGrid w:val="0"/>
              <w:spacing w:line="300" w:lineRule="exact"/>
              <w:jc w:val="left"/>
              <w:rPr>
                <w:sz w:val="21"/>
                <w:szCs w:val="21"/>
              </w:rPr>
            </w:pPr>
            <w:r>
              <w:rPr>
                <w:sz w:val="21"/>
                <w:szCs w:val="21"/>
              </w:rPr>
              <w:t>失业保险参保人数</w:t>
            </w:r>
          </w:p>
        </w:tc>
        <w:tc>
          <w:tcPr>
            <w:tcW w:w="897" w:type="dxa"/>
            <w:vAlign w:val="center"/>
          </w:tcPr>
          <w:p w:rsidR="000F7FAD" w:rsidRDefault="00BB4424">
            <w:pPr>
              <w:adjustRightInd w:val="0"/>
              <w:snapToGrid w:val="0"/>
              <w:spacing w:line="300" w:lineRule="exact"/>
              <w:jc w:val="center"/>
              <w:rPr>
                <w:sz w:val="21"/>
                <w:szCs w:val="21"/>
              </w:rPr>
            </w:pPr>
            <w:r>
              <w:rPr>
                <w:sz w:val="21"/>
                <w:szCs w:val="21"/>
              </w:rPr>
              <w:t>万人</w:t>
            </w:r>
          </w:p>
        </w:tc>
        <w:tc>
          <w:tcPr>
            <w:tcW w:w="1046" w:type="dxa"/>
            <w:vAlign w:val="center"/>
          </w:tcPr>
          <w:p w:rsidR="000F7FAD" w:rsidRDefault="00BB4424">
            <w:pPr>
              <w:adjustRightInd w:val="0"/>
              <w:snapToGrid w:val="0"/>
              <w:spacing w:line="300" w:lineRule="exact"/>
              <w:jc w:val="center"/>
              <w:rPr>
                <w:sz w:val="21"/>
                <w:szCs w:val="21"/>
              </w:rPr>
            </w:pPr>
            <w:r>
              <w:rPr>
                <w:sz w:val="21"/>
                <w:szCs w:val="21"/>
              </w:rPr>
              <w:t>427</w:t>
            </w:r>
          </w:p>
        </w:tc>
        <w:tc>
          <w:tcPr>
            <w:tcW w:w="1046" w:type="dxa"/>
            <w:vAlign w:val="center"/>
          </w:tcPr>
          <w:p w:rsidR="000F7FAD" w:rsidRDefault="00BB4424">
            <w:pPr>
              <w:adjustRightInd w:val="0"/>
              <w:snapToGrid w:val="0"/>
              <w:spacing w:line="300" w:lineRule="exact"/>
              <w:jc w:val="center"/>
              <w:rPr>
                <w:sz w:val="21"/>
                <w:szCs w:val="21"/>
              </w:rPr>
            </w:pPr>
            <w:r>
              <w:rPr>
                <w:sz w:val="21"/>
                <w:szCs w:val="21"/>
              </w:rPr>
              <w:t>437.86</w:t>
            </w:r>
          </w:p>
        </w:tc>
        <w:tc>
          <w:tcPr>
            <w:tcW w:w="1345" w:type="dxa"/>
            <w:vAlign w:val="center"/>
          </w:tcPr>
          <w:p w:rsidR="000F7FAD" w:rsidRDefault="00BB4424">
            <w:pPr>
              <w:spacing w:line="300" w:lineRule="exact"/>
              <w:jc w:val="center"/>
              <w:rPr>
                <w:sz w:val="21"/>
                <w:szCs w:val="21"/>
              </w:rPr>
            </w:pPr>
            <w:r>
              <w:rPr>
                <w:sz w:val="21"/>
                <w:szCs w:val="21"/>
              </w:rPr>
              <w:t>预期性</w:t>
            </w:r>
          </w:p>
        </w:tc>
      </w:tr>
      <w:tr w:rsidR="000F7FAD">
        <w:trPr>
          <w:trHeight w:val="454"/>
          <w:jc w:val="center"/>
        </w:trPr>
        <w:tc>
          <w:tcPr>
            <w:tcW w:w="882" w:type="dxa"/>
            <w:vAlign w:val="center"/>
          </w:tcPr>
          <w:p w:rsidR="000F7FAD" w:rsidRDefault="00BB4424">
            <w:pPr>
              <w:adjustRightInd w:val="0"/>
              <w:snapToGrid w:val="0"/>
              <w:spacing w:line="300" w:lineRule="exact"/>
              <w:jc w:val="center"/>
              <w:rPr>
                <w:sz w:val="21"/>
                <w:szCs w:val="21"/>
              </w:rPr>
            </w:pPr>
            <w:r>
              <w:rPr>
                <w:sz w:val="21"/>
                <w:szCs w:val="21"/>
              </w:rPr>
              <w:t>9</w:t>
            </w:r>
          </w:p>
        </w:tc>
        <w:tc>
          <w:tcPr>
            <w:tcW w:w="3219" w:type="dxa"/>
            <w:vAlign w:val="center"/>
          </w:tcPr>
          <w:p w:rsidR="000F7FAD" w:rsidRDefault="00BB4424">
            <w:pPr>
              <w:adjustRightInd w:val="0"/>
              <w:snapToGrid w:val="0"/>
              <w:spacing w:line="300" w:lineRule="exact"/>
              <w:jc w:val="left"/>
              <w:rPr>
                <w:sz w:val="21"/>
                <w:szCs w:val="21"/>
              </w:rPr>
            </w:pPr>
            <w:r>
              <w:rPr>
                <w:sz w:val="21"/>
                <w:szCs w:val="21"/>
              </w:rPr>
              <w:t>工伤保险参保人数</w:t>
            </w:r>
          </w:p>
        </w:tc>
        <w:tc>
          <w:tcPr>
            <w:tcW w:w="897" w:type="dxa"/>
            <w:vAlign w:val="center"/>
          </w:tcPr>
          <w:p w:rsidR="000F7FAD" w:rsidRDefault="00BB4424">
            <w:pPr>
              <w:adjustRightInd w:val="0"/>
              <w:snapToGrid w:val="0"/>
              <w:spacing w:line="300" w:lineRule="exact"/>
              <w:jc w:val="center"/>
              <w:rPr>
                <w:sz w:val="21"/>
                <w:szCs w:val="21"/>
              </w:rPr>
            </w:pPr>
            <w:r>
              <w:rPr>
                <w:sz w:val="21"/>
                <w:szCs w:val="21"/>
              </w:rPr>
              <w:t>万人</w:t>
            </w:r>
          </w:p>
        </w:tc>
        <w:tc>
          <w:tcPr>
            <w:tcW w:w="1046" w:type="dxa"/>
            <w:vAlign w:val="center"/>
          </w:tcPr>
          <w:p w:rsidR="000F7FAD" w:rsidRDefault="00BB4424">
            <w:pPr>
              <w:adjustRightInd w:val="0"/>
              <w:snapToGrid w:val="0"/>
              <w:spacing w:line="300" w:lineRule="exact"/>
              <w:jc w:val="center"/>
              <w:rPr>
                <w:sz w:val="21"/>
                <w:szCs w:val="21"/>
              </w:rPr>
            </w:pPr>
            <w:r>
              <w:rPr>
                <w:sz w:val="21"/>
                <w:szCs w:val="21"/>
              </w:rPr>
              <w:t>437</w:t>
            </w:r>
          </w:p>
        </w:tc>
        <w:tc>
          <w:tcPr>
            <w:tcW w:w="1046" w:type="dxa"/>
            <w:vAlign w:val="center"/>
          </w:tcPr>
          <w:p w:rsidR="000F7FAD" w:rsidRDefault="00BB4424">
            <w:pPr>
              <w:adjustRightInd w:val="0"/>
              <w:snapToGrid w:val="0"/>
              <w:spacing w:line="300" w:lineRule="exact"/>
              <w:jc w:val="center"/>
              <w:rPr>
                <w:sz w:val="21"/>
                <w:szCs w:val="21"/>
              </w:rPr>
            </w:pPr>
            <w:r>
              <w:rPr>
                <w:sz w:val="21"/>
                <w:szCs w:val="21"/>
              </w:rPr>
              <w:t>452.65</w:t>
            </w:r>
          </w:p>
        </w:tc>
        <w:tc>
          <w:tcPr>
            <w:tcW w:w="1345" w:type="dxa"/>
            <w:vAlign w:val="center"/>
          </w:tcPr>
          <w:p w:rsidR="000F7FAD" w:rsidRDefault="00BB4424">
            <w:pPr>
              <w:spacing w:line="300" w:lineRule="exact"/>
              <w:jc w:val="center"/>
              <w:rPr>
                <w:sz w:val="21"/>
                <w:szCs w:val="21"/>
              </w:rPr>
            </w:pPr>
            <w:r>
              <w:rPr>
                <w:sz w:val="21"/>
                <w:szCs w:val="21"/>
              </w:rPr>
              <w:t>预期性</w:t>
            </w:r>
          </w:p>
        </w:tc>
      </w:tr>
      <w:tr w:rsidR="000F7FAD">
        <w:trPr>
          <w:trHeight w:val="454"/>
          <w:jc w:val="center"/>
        </w:trPr>
        <w:tc>
          <w:tcPr>
            <w:tcW w:w="882" w:type="dxa"/>
            <w:vAlign w:val="center"/>
          </w:tcPr>
          <w:p w:rsidR="000F7FAD" w:rsidRDefault="00BB4424">
            <w:pPr>
              <w:adjustRightInd w:val="0"/>
              <w:snapToGrid w:val="0"/>
              <w:spacing w:line="300" w:lineRule="exact"/>
              <w:jc w:val="center"/>
              <w:rPr>
                <w:sz w:val="21"/>
                <w:szCs w:val="21"/>
              </w:rPr>
            </w:pPr>
            <w:r>
              <w:rPr>
                <w:sz w:val="21"/>
                <w:szCs w:val="21"/>
              </w:rPr>
              <w:t>10</w:t>
            </w:r>
          </w:p>
        </w:tc>
        <w:tc>
          <w:tcPr>
            <w:tcW w:w="3219" w:type="dxa"/>
            <w:vAlign w:val="center"/>
          </w:tcPr>
          <w:p w:rsidR="000F7FAD" w:rsidRDefault="00BB4424">
            <w:pPr>
              <w:adjustRightInd w:val="0"/>
              <w:snapToGrid w:val="0"/>
              <w:spacing w:line="300" w:lineRule="exact"/>
              <w:jc w:val="left"/>
              <w:rPr>
                <w:sz w:val="21"/>
                <w:szCs w:val="21"/>
              </w:rPr>
            </w:pPr>
            <w:r>
              <w:rPr>
                <w:sz w:val="21"/>
                <w:szCs w:val="21"/>
              </w:rPr>
              <w:t>社会保障卡持卡人数</w:t>
            </w:r>
          </w:p>
        </w:tc>
        <w:tc>
          <w:tcPr>
            <w:tcW w:w="897" w:type="dxa"/>
            <w:vAlign w:val="center"/>
          </w:tcPr>
          <w:p w:rsidR="000F7FAD" w:rsidRDefault="00BB4424">
            <w:pPr>
              <w:adjustRightInd w:val="0"/>
              <w:snapToGrid w:val="0"/>
              <w:spacing w:line="300" w:lineRule="exact"/>
              <w:jc w:val="center"/>
              <w:rPr>
                <w:sz w:val="21"/>
                <w:szCs w:val="21"/>
              </w:rPr>
            </w:pPr>
            <w:r>
              <w:rPr>
                <w:sz w:val="21"/>
                <w:szCs w:val="21"/>
              </w:rPr>
              <w:t>万人</w:t>
            </w:r>
          </w:p>
        </w:tc>
        <w:tc>
          <w:tcPr>
            <w:tcW w:w="1046" w:type="dxa"/>
            <w:vAlign w:val="center"/>
          </w:tcPr>
          <w:p w:rsidR="000F7FAD" w:rsidRDefault="00BB4424">
            <w:pPr>
              <w:adjustRightInd w:val="0"/>
              <w:snapToGrid w:val="0"/>
              <w:spacing w:line="300" w:lineRule="exact"/>
              <w:jc w:val="center"/>
              <w:rPr>
                <w:sz w:val="21"/>
                <w:szCs w:val="21"/>
              </w:rPr>
            </w:pPr>
            <w:r>
              <w:rPr>
                <w:sz w:val="21"/>
                <w:szCs w:val="21"/>
              </w:rPr>
              <w:t>930</w:t>
            </w:r>
          </w:p>
        </w:tc>
        <w:tc>
          <w:tcPr>
            <w:tcW w:w="1046" w:type="dxa"/>
            <w:vAlign w:val="center"/>
          </w:tcPr>
          <w:p w:rsidR="000F7FAD" w:rsidRDefault="00BB4424">
            <w:pPr>
              <w:adjustRightInd w:val="0"/>
              <w:snapToGrid w:val="0"/>
              <w:spacing w:line="300" w:lineRule="exact"/>
              <w:jc w:val="center"/>
              <w:rPr>
                <w:sz w:val="21"/>
                <w:szCs w:val="21"/>
              </w:rPr>
            </w:pPr>
            <w:r>
              <w:rPr>
                <w:sz w:val="21"/>
                <w:szCs w:val="21"/>
              </w:rPr>
              <w:t>930</w:t>
            </w:r>
          </w:p>
        </w:tc>
        <w:tc>
          <w:tcPr>
            <w:tcW w:w="1345" w:type="dxa"/>
            <w:vAlign w:val="center"/>
          </w:tcPr>
          <w:p w:rsidR="000F7FAD" w:rsidRDefault="00BB4424">
            <w:pPr>
              <w:spacing w:line="300" w:lineRule="exact"/>
              <w:jc w:val="center"/>
              <w:rPr>
                <w:sz w:val="21"/>
                <w:szCs w:val="21"/>
              </w:rPr>
            </w:pPr>
            <w:r>
              <w:rPr>
                <w:sz w:val="21"/>
                <w:szCs w:val="21"/>
              </w:rPr>
              <w:t>预期性</w:t>
            </w:r>
          </w:p>
        </w:tc>
      </w:tr>
      <w:tr w:rsidR="000F7FAD">
        <w:trPr>
          <w:trHeight w:val="454"/>
          <w:jc w:val="center"/>
        </w:trPr>
        <w:tc>
          <w:tcPr>
            <w:tcW w:w="8435" w:type="dxa"/>
            <w:gridSpan w:val="6"/>
            <w:vAlign w:val="center"/>
          </w:tcPr>
          <w:p w:rsidR="000F7FAD" w:rsidRDefault="00BB4424">
            <w:pPr>
              <w:adjustRightInd w:val="0"/>
              <w:snapToGrid w:val="0"/>
              <w:spacing w:line="300" w:lineRule="exact"/>
              <w:jc w:val="left"/>
              <w:rPr>
                <w:rFonts w:eastAsia="黑体"/>
                <w:sz w:val="21"/>
                <w:szCs w:val="21"/>
              </w:rPr>
            </w:pPr>
            <w:r>
              <w:rPr>
                <w:rFonts w:eastAsia="黑体"/>
                <w:sz w:val="21"/>
                <w:szCs w:val="21"/>
              </w:rPr>
              <w:t>四、人才</w:t>
            </w:r>
          </w:p>
        </w:tc>
      </w:tr>
      <w:tr w:rsidR="000F7FAD">
        <w:trPr>
          <w:trHeight w:val="454"/>
          <w:jc w:val="center"/>
        </w:trPr>
        <w:tc>
          <w:tcPr>
            <w:tcW w:w="882" w:type="dxa"/>
            <w:vAlign w:val="center"/>
          </w:tcPr>
          <w:p w:rsidR="000F7FAD" w:rsidRDefault="00BB4424">
            <w:pPr>
              <w:adjustRightInd w:val="0"/>
              <w:snapToGrid w:val="0"/>
              <w:spacing w:line="300" w:lineRule="exact"/>
              <w:jc w:val="center"/>
              <w:rPr>
                <w:sz w:val="21"/>
                <w:szCs w:val="21"/>
              </w:rPr>
            </w:pPr>
            <w:r>
              <w:rPr>
                <w:sz w:val="21"/>
                <w:szCs w:val="21"/>
              </w:rPr>
              <w:t>11</w:t>
            </w:r>
          </w:p>
        </w:tc>
        <w:tc>
          <w:tcPr>
            <w:tcW w:w="3219" w:type="dxa"/>
            <w:vAlign w:val="center"/>
          </w:tcPr>
          <w:p w:rsidR="000F7FAD" w:rsidRDefault="00BB4424">
            <w:pPr>
              <w:adjustRightInd w:val="0"/>
              <w:snapToGrid w:val="0"/>
              <w:spacing w:line="300" w:lineRule="exact"/>
              <w:jc w:val="left"/>
              <w:rPr>
                <w:sz w:val="21"/>
                <w:szCs w:val="21"/>
              </w:rPr>
            </w:pPr>
            <w:r>
              <w:rPr>
                <w:sz w:val="21"/>
                <w:szCs w:val="21"/>
              </w:rPr>
              <w:t>创新创业领军人才</w:t>
            </w:r>
          </w:p>
        </w:tc>
        <w:tc>
          <w:tcPr>
            <w:tcW w:w="897" w:type="dxa"/>
            <w:vAlign w:val="center"/>
          </w:tcPr>
          <w:p w:rsidR="000F7FAD" w:rsidRDefault="00BB4424">
            <w:pPr>
              <w:adjustRightInd w:val="0"/>
              <w:snapToGrid w:val="0"/>
              <w:spacing w:line="300" w:lineRule="exact"/>
              <w:jc w:val="center"/>
              <w:rPr>
                <w:sz w:val="21"/>
                <w:szCs w:val="21"/>
              </w:rPr>
            </w:pPr>
            <w:r>
              <w:rPr>
                <w:sz w:val="21"/>
                <w:szCs w:val="21"/>
              </w:rPr>
              <w:t>人</w:t>
            </w:r>
          </w:p>
        </w:tc>
        <w:tc>
          <w:tcPr>
            <w:tcW w:w="1046" w:type="dxa"/>
            <w:vAlign w:val="center"/>
          </w:tcPr>
          <w:p w:rsidR="000F7FAD" w:rsidRDefault="00BB4424">
            <w:pPr>
              <w:adjustRightInd w:val="0"/>
              <w:snapToGrid w:val="0"/>
              <w:spacing w:line="300" w:lineRule="exact"/>
              <w:jc w:val="center"/>
              <w:rPr>
                <w:sz w:val="21"/>
                <w:szCs w:val="21"/>
              </w:rPr>
            </w:pPr>
            <w:r>
              <w:rPr>
                <w:sz w:val="21"/>
                <w:szCs w:val="21"/>
              </w:rPr>
              <w:t>100</w:t>
            </w:r>
          </w:p>
        </w:tc>
        <w:tc>
          <w:tcPr>
            <w:tcW w:w="1046" w:type="dxa"/>
            <w:vAlign w:val="center"/>
          </w:tcPr>
          <w:p w:rsidR="000F7FAD" w:rsidRDefault="00BB4424">
            <w:pPr>
              <w:adjustRightInd w:val="0"/>
              <w:snapToGrid w:val="0"/>
              <w:spacing w:line="300" w:lineRule="exact"/>
              <w:jc w:val="center"/>
              <w:rPr>
                <w:sz w:val="21"/>
                <w:szCs w:val="21"/>
              </w:rPr>
            </w:pPr>
            <w:r>
              <w:rPr>
                <w:sz w:val="21"/>
                <w:szCs w:val="21"/>
              </w:rPr>
              <w:t>108</w:t>
            </w:r>
          </w:p>
        </w:tc>
        <w:tc>
          <w:tcPr>
            <w:tcW w:w="1345" w:type="dxa"/>
            <w:vAlign w:val="center"/>
          </w:tcPr>
          <w:p w:rsidR="000F7FAD" w:rsidRDefault="00BB4424">
            <w:pPr>
              <w:spacing w:line="300" w:lineRule="exact"/>
              <w:jc w:val="center"/>
              <w:rPr>
                <w:sz w:val="21"/>
                <w:szCs w:val="21"/>
              </w:rPr>
            </w:pPr>
            <w:r>
              <w:rPr>
                <w:sz w:val="21"/>
                <w:szCs w:val="21"/>
              </w:rPr>
              <w:t>预期性</w:t>
            </w:r>
          </w:p>
        </w:tc>
      </w:tr>
      <w:tr w:rsidR="000F7FAD">
        <w:trPr>
          <w:trHeight w:val="454"/>
          <w:jc w:val="center"/>
        </w:trPr>
        <w:tc>
          <w:tcPr>
            <w:tcW w:w="882" w:type="dxa"/>
            <w:vAlign w:val="center"/>
          </w:tcPr>
          <w:p w:rsidR="000F7FAD" w:rsidRDefault="00BB4424">
            <w:pPr>
              <w:adjustRightInd w:val="0"/>
              <w:snapToGrid w:val="0"/>
              <w:spacing w:line="300" w:lineRule="exact"/>
              <w:jc w:val="center"/>
              <w:rPr>
                <w:sz w:val="21"/>
                <w:szCs w:val="21"/>
              </w:rPr>
            </w:pPr>
            <w:r>
              <w:rPr>
                <w:sz w:val="21"/>
                <w:szCs w:val="21"/>
              </w:rPr>
              <w:t>12</w:t>
            </w:r>
          </w:p>
        </w:tc>
        <w:tc>
          <w:tcPr>
            <w:tcW w:w="3219" w:type="dxa"/>
            <w:vAlign w:val="center"/>
          </w:tcPr>
          <w:p w:rsidR="000F7FAD" w:rsidRDefault="00BB4424">
            <w:pPr>
              <w:adjustRightInd w:val="0"/>
              <w:snapToGrid w:val="0"/>
              <w:spacing w:line="300" w:lineRule="exact"/>
              <w:jc w:val="left"/>
              <w:rPr>
                <w:sz w:val="21"/>
                <w:szCs w:val="21"/>
              </w:rPr>
            </w:pPr>
            <w:r>
              <w:rPr>
                <w:sz w:val="21"/>
                <w:szCs w:val="21"/>
              </w:rPr>
              <w:t>技能劳动者总量</w:t>
            </w:r>
          </w:p>
        </w:tc>
        <w:tc>
          <w:tcPr>
            <w:tcW w:w="897" w:type="dxa"/>
            <w:vAlign w:val="center"/>
          </w:tcPr>
          <w:p w:rsidR="000F7FAD" w:rsidRDefault="00BB4424">
            <w:pPr>
              <w:adjustRightInd w:val="0"/>
              <w:snapToGrid w:val="0"/>
              <w:spacing w:line="300" w:lineRule="exact"/>
              <w:jc w:val="center"/>
              <w:rPr>
                <w:sz w:val="21"/>
                <w:szCs w:val="21"/>
              </w:rPr>
            </w:pPr>
            <w:r>
              <w:rPr>
                <w:sz w:val="21"/>
                <w:szCs w:val="21"/>
              </w:rPr>
              <w:t>万人</w:t>
            </w:r>
          </w:p>
        </w:tc>
        <w:tc>
          <w:tcPr>
            <w:tcW w:w="1046" w:type="dxa"/>
            <w:vAlign w:val="center"/>
          </w:tcPr>
          <w:p w:rsidR="000F7FAD" w:rsidRDefault="00BB4424">
            <w:pPr>
              <w:adjustRightInd w:val="0"/>
              <w:snapToGrid w:val="0"/>
              <w:spacing w:line="300" w:lineRule="exact"/>
              <w:jc w:val="center"/>
              <w:rPr>
                <w:sz w:val="21"/>
                <w:szCs w:val="21"/>
              </w:rPr>
            </w:pPr>
            <w:r>
              <w:rPr>
                <w:sz w:val="21"/>
                <w:szCs w:val="21"/>
              </w:rPr>
              <w:t>100</w:t>
            </w:r>
          </w:p>
        </w:tc>
        <w:tc>
          <w:tcPr>
            <w:tcW w:w="1046" w:type="dxa"/>
            <w:vAlign w:val="center"/>
          </w:tcPr>
          <w:p w:rsidR="000F7FAD" w:rsidRDefault="00BB4424">
            <w:pPr>
              <w:adjustRightInd w:val="0"/>
              <w:snapToGrid w:val="0"/>
              <w:spacing w:line="300" w:lineRule="exact"/>
              <w:jc w:val="center"/>
              <w:rPr>
                <w:sz w:val="21"/>
                <w:szCs w:val="21"/>
              </w:rPr>
            </w:pPr>
            <w:r>
              <w:rPr>
                <w:sz w:val="21"/>
                <w:szCs w:val="21"/>
              </w:rPr>
              <w:t>112</w:t>
            </w:r>
          </w:p>
        </w:tc>
        <w:tc>
          <w:tcPr>
            <w:tcW w:w="1345" w:type="dxa"/>
            <w:vAlign w:val="center"/>
          </w:tcPr>
          <w:p w:rsidR="000F7FAD" w:rsidRDefault="00BB4424">
            <w:pPr>
              <w:spacing w:line="300" w:lineRule="exact"/>
              <w:jc w:val="center"/>
              <w:rPr>
                <w:sz w:val="21"/>
                <w:szCs w:val="21"/>
              </w:rPr>
            </w:pPr>
            <w:r>
              <w:rPr>
                <w:sz w:val="21"/>
                <w:szCs w:val="21"/>
              </w:rPr>
              <w:t>预期性</w:t>
            </w:r>
          </w:p>
        </w:tc>
      </w:tr>
      <w:tr w:rsidR="000F7FAD">
        <w:trPr>
          <w:trHeight w:val="454"/>
          <w:jc w:val="center"/>
        </w:trPr>
        <w:tc>
          <w:tcPr>
            <w:tcW w:w="882" w:type="dxa"/>
            <w:vAlign w:val="center"/>
          </w:tcPr>
          <w:p w:rsidR="000F7FAD" w:rsidRDefault="00BB4424">
            <w:pPr>
              <w:adjustRightInd w:val="0"/>
              <w:snapToGrid w:val="0"/>
              <w:spacing w:line="300" w:lineRule="exact"/>
              <w:jc w:val="center"/>
              <w:rPr>
                <w:sz w:val="21"/>
                <w:szCs w:val="21"/>
              </w:rPr>
            </w:pPr>
            <w:r>
              <w:rPr>
                <w:sz w:val="21"/>
                <w:szCs w:val="21"/>
              </w:rPr>
              <w:t>13</w:t>
            </w:r>
          </w:p>
        </w:tc>
        <w:tc>
          <w:tcPr>
            <w:tcW w:w="3219" w:type="dxa"/>
            <w:vAlign w:val="center"/>
          </w:tcPr>
          <w:p w:rsidR="000F7FAD" w:rsidRDefault="00BB4424">
            <w:pPr>
              <w:adjustRightInd w:val="0"/>
              <w:snapToGrid w:val="0"/>
              <w:spacing w:line="300" w:lineRule="exact"/>
              <w:jc w:val="left"/>
              <w:rPr>
                <w:sz w:val="21"/>
                <w:szCs w:val="21"/>
              </w:rPr>
            </w:pPr>
            <w:r>
              <w:rPr>
                <w:sz w:val="21"/>
                <w:szCs w:val="21"/>
              </w:rPr>
              <w:t>培养国际化技能人才</w:t>
            </w:r>
          </w:p>
        </w:tc>
        <w:tc>
          <w:tcPr>
            <w:tcW w:w="897" w:type="dxa"/>
            <w:vAlign w:val="center"/>
          </w:tcPr>
          <w:p w:rsidR="000F7FAD" w:rsidRDefault="00BB4424">
            <w:pPr>
              <w:adjustRightInd w:val="0"/>
              <w:snapToGrid w:val="0"/>
              <w:spacing w:line="300" w:lineRule="exact"/>
              <w:jc w:val="center"/>
              <w:rPr>
                <w:sz w:val="21"/>
                <w:szCs w:val="21"/>
              </w:rPr>
            </w:pPr>
            <w:r>
              <w:rPr>
                <w:sz w:val="21"/>
                <w:szCs w:val="21"/>
              </w:rPr>
              <w:t>人</w:t>
            </w:r>
          </w:p>
        </w:tc>
        <w:tc>
          <w:tcPr>
            <w:tcW w:w="1046" w:type="dxa"/>
            <w:vAlign w:val="center"/>
          </w:tcPr>
          <w:p w:rsidR="000F7FAD" w:rsidRDefault="00BB4424">
            <w:pPr>
              <w:adjustRightInd w:val="0"/>
              <w:snapToGrid w:val="0"/>
              <w:spacing w:line="300" w:lineRule="exact"/>
              <w:jc w:val="center"/>
              <w:rPr>
                <w:sz w:val="21"/>
                <w:szCs w:val="21"/>
              </w:rPr>
            </w:pPr>
            <w:r>
              <w:rPr>
                <w:sz w:val="21"/>
                <w:szCs w:val="21"/>
              </w:rPr>
              <w:t>[5000]</w:t>
            </w:r>
          </w:p>
        </w:tc>
        <w:tc>
          <w:tcPr>
            <w:tcW w:w="1046" w:type="dxa"/>
            <w:vAlign w:val="center"/>
          </w:tcPr>
          <w:p w:rsidR="000F7FAD" w:rsidRDefault="00BB4424">
            <w:pPr>
              <w:adjustRightInd w:val="0"/>
              <w:snapToGrid w:val="0"/>
              <w:spacing w:line="300" w:lineRule="exact"/>
              <w:jc w:val="center"/>
              <w:rPr>
                <w:sz w:val="21"/>
                <w:szCs w:val="21"/>
              </w:rPr>
            </w:pPr>
            <w:r>
              <w:rPr>
                <w:sz w:val="21"/>
                <w:szCs w:val="21"/>
              </w:rPr>
              <w:t>[9479]</w:t>
            </w:r>
          </w:p>
        </w:tc>
        <w:tc>
          <w:tcPr>
            <w:tcW w:w="1345" w:type="dxa"/>
            <w:vAlign w:val="center"/>
          </w:tcPr>
          <w:p w:rsidR="000F7FAD" w:rsidRDefault="00BB4424">
            <w:pPr>
              <w:spacing w:line="300" w:lineRule="exact"/>
              <w:jc w:val="center"/>
              <w:rPr>
                <w:sz w:val="21"/>
                <w:szCs w:val="21"/>
              </w:rPr>
            </w:pPr>
            <w:r>
              <w:rPr>
                <w:sz w:val="21"/>
                <w:szCs w:val="21"/>
              </w:rPr>
              <w:t>预期性</w:t>
            </w:r>
          </w:p>
        </w:tc>
      </w:tr>
      <w:tr w:rsidR="000F7FAD">
        <w:trPr>
          <w:trHeight w:val="454"/>
          <w:jc w:val="center"/>
        </w:trPr>
        <w:tc>
          <w:tcPr>
            <w:tcW w:w="882" w:type="dxa"/>
            <w:vAlign w:val="center"/>
          </w:tcPr>
          <w:p w:rsidR="000F7FAD" w:rsidRDefault="00BB4424">
            <w:pPr>
              <w:adjustRightInd w:val="0"/>
              <w:snapToGrid w:val="0"/>
              <w:spacing w:line="300" w:lineRule="exact"/>
              <w:jc w:val="center"/>
              <w:rPr>
                <w:sz w:val="21"/>
                <w:szCs w:val="21"/>
              </w:rPr>
            </w:pPr>
            <w:r>
              <w:rPr>
                <w:sz w:val="21"/>
                <w:szCs w:val="21"/>
              </w:rPr>
              <w:t>14</w:t>
            </w:r>
          </w:p>
        </w:tc>
        <w:tc>
          <w:tcPr>
            <w:tcW w:w="3219" w:type="dxa"/>
            <w:vAlign w:val="center"/>
          </w:tcPr>
          <w:p w:rsidR="000F7FAD" w:rsidRDefault="00BB4424">
            <w:pPr>
              <w:adjustRightInd w:val="0"/>
              <w:snapToGrid w:val="0"/>
              <w:spacing w:line="300" w:lineRule="exact"/>
              <w:jc w:val="left"/>
              <w:rPr>
                <w:sz w:val="21"/>
                <w:szCs w:val="21"/>
              </w:rPr>
            </w:pPr>
            <w:r>
              <w:rPr>
                <w:sz w:val="21"/>
                <w:szCs w:val="21"/>
              </w:rPr>
              <w:t>培养电商创业人才</w:t>
            </w:r>
          </w:p>
        </w:tc>
        <w:tc>
          <w:tcPr>
            <w:tcW w:w="897" w:type="dxa"/>
            <w:vAlign w:val="center"/>
          </w:tcPr>
          <w:p w:rsidR="000F7FAD" w:rsidRDefault="00BB4424">
            <w:pPr>
              <w:adjustRightInd w:val="0"/>
              <w:snapToGrid w:val="0"/>
              <w:spacing w:line="300" w:lineRule="exact"/>
              <w:jc w:val="center"/>
              <w:rPr>
                <w:sz w:val="21"/>
                <w:szCs w:val="21"/>
              </w:rPr>
            </w:pPr>
            <w:r>
              <w:rPr>
                <w:sz w:val="21"/>
                <w:szCs w:val="21"/>
              </w:rPr>
              <w:t>万人</w:t>
            </w:r>
          </w:p>
        </w:tc>
        <w:tc>
          <w:tcPr>
            <w:tcW w:w="1046" w:type="dxa"/>
            <w:vAlign w:val="center"/>
          </w:tcPr>
          <w:p w:rsidR="000F7FAD" w:rsidRDefault="00BB4424">
            <w:pPr>
              <w:adjustRightInd w:val="0"/>
              <w:snapToGrid w:val="0"/>
              <w:spacing w:line="300" w:lineRule="exact"/>
              <w:jc w:val="center"/>
              <w:rPr>
                <w:sz w:val="21"/>
                <w:szCs w:val="21"/>
              </w:rPr>
            </w:pPr>
            <w:r>
              <w:rPr>
                <w:sz w:val="21"/>
                <w:szCs w:val="21"/>
              </w:rPr>
              <w:t>[10]</w:t>
            </w:r>
          </w:p>
        </w:tc>
        <w:tc>
          <w:tcPr>
            <w:tcW w:w="1046" w:type="dxa"/>
            <w:vAlign w:val="center"/>
          </w:tcPr>
          <w:p w:rsidR="000F7FAD" w:rsidRDefault="00BB4424">
            <w:pPr>
              <w:adjustRightInd w:val="0"/>
              <w:snapToGrid w:val="0"/>
              <w:spacing w:line="300" w:lineRule="exact"/>
              <w:jc w:val="center"/>
              <w:rPr>
                <w:b/>
                <w:bCs/>
                <w:kern w:val="44"/>
                <w:sz w:val="21"/>
                <w:szCs w:val="21"/>
              </w:rPr>
            </w:pPr>
            <w:r>
              <w:rPr>
                <w:sz w:val="21"/>
                <w:szCs w:val="21"/>
              </w:rPr>
              <w:t>[13]</w:t>
            </w:r>
          </w:p>
        </w:tc>
        <w:tc>
          <w:tcPr>
            <w:tcW w:w="1345" w:type="dxa"/>
            <w:vAlign w:val="center"/>
          </w:tcPr>
          <w:p w:rsidR="000F7FAD" w:rsidRDefault="00BB4424">
            <w:pPr>
              <w:spacing w:line="300" w:lineRule="exact"/>
              <w:jc w:val="center"/>
              <w:rPr>
                <w:sz w:val="21"/>
                <w:szCs w:val="21"/>
              </w:rPr>
            </w:pPr>
            <w:r>
              <w:rPr>
                <w:sz w:val="21"/>
                <w:szCs w:val="21"/>
              </w:rPr>
              <w:t>预期性</w:t>
            </w:r>
          </w:p>
        </w:tc>
      </w:tr>
      <w:tr w:rsidR="000F7FAD">
        <w:trPr>
          <w:trHeight w:val="454"/>
          <w:jc w:val="center"/>
        </w:trPr>
        <w:tc>
          <w:tcPr>
            <w:tcW w:w="882" w:type="dxa"/>
            <w:vAlign w:val="center"/>
          </w:tcPr>
          <w:p w:rsidR="000F7FAD" w:rsidRDefault="00BB4424">
            <w:pPr>
              <w:adjustRightInd w:val="0"/>
              <w:snapToGrid w:val="0"/>
              <w:spacing w:line="300" w:lineRule="exact"/>
              <w:jc w:val="center"/>
              <w:rPr>
                <w:sz w:val="21"/>
                <w:szCs w:val="21"/>
              </w:rPr>
            </w:pPr>
            <w:r>
              <w:rPr>
                <w:sz w:val="21"/>
                <w:szCs w:val="21"/>
              </w:rPr>
              <w:t>15</w:t>
            </w:r>
          </w:p>
        </w:tc>
        <w:tc>
          <w:tcPr>
            <w:tcW w:w="3219" w:type="dxa"/>
            <w:vAlign w:val="center"/>
          </w:tcPr>
          <w:p w:rsidR="000F7FAD" w:rsidRDefault="00BB4424">
            <w:pPr>
              <w:adjustRightInd w:val="0"/>
              <w:snapToGrid w:val="0"/>
              <w:spacing w:line="300" w:lineRule="exact"/>
              <w:jc w:val="left"/>
              <w:rPr>
                <w:sz w:val="21"/>
                <w:szCs w:val="21"/>
              </w:rPr>
            </w:pPr>
            <w:r>
              <w:rPr>
                <w:sz w:val="21"/>
                <w:szCs w:val="21"/>
              </w:rPr>
              <w:t>企业技能人才评价规模</w:t>
            </w:r>
          </w:p>
        </w:tc>
        <w:tc>
          <w:tcPr>
            <w:tcW w:w="897" w:type="dxa"/>
            <w:vAlign w:val="center"/>
          </w:tcPr>
          <w:p w:rsidR="000F7FAD" w:rsidRDefault="00BB4424">
            <w:pPr>
              <w:adjustRightInd w:val="0"/>
              <w:snapToGrid w:val="0"/>
              <w:spacing w:line="300" w:lineRule="exact"/>
              <w:jc w:val="center"/>
              <w:rPr>
                <w:sz w:val="21"/>
                <w:szCs w:val="21"/>
              </w:rPr>
            </w:pPr>
            <w:r>
              <w:rPr>
                <w:sz w:val="21"/>
                <w:szCs w:val="21"/>
              </w:rPr>
              <w:t>人</w:t>
            </w:r>
          </w:p>
        </w:tc>
        <w:tc>
          <w:tcPr>
            <w:tcW w:w="1046" w:type="dxa"/>
            <w:vAlign w:val="center"/>
          </w:tcPr>
          <w:p w:rsidR="000F7FAD" w:rsidRDefault="00BB4424">
            <w:pPr>
              <w:adjustRightInd w:val="0"/>
              <w:snapToGrid w:val="0"/>
              <w:spacing w:line="300" w:lineRule="exact"/>
              <w:jc w:val="center"/>
              <w:rPr>
                <w:sz w:val="21"/>
                <w:szCs w:val="21"/>
              </w:rPr>
            </w:pPr>
            <w:r>
              <w:rPr>
                <w:sz w:val="21"/>
                <w:szCs w:val="21"/>
              </w:rPr>
              <w:t>[10000]</w:t>
            </w:r>
          </w:p>
        </w:tc>
        <w:tc>
          <w:tcPr>
            <w:tcW w:w="1046" w:type="dxa"/>
            <w:vAlign w:val="center"/>
          </w:tcPr>
          <w:p w:rsidR="000F7FAD" w:rsidRDefault="00BB4424">
            <w:pPr>
              <w:adjustRightInd w:val="0"/>
              <w:snapToGrid w:val="0"/>
              <w:spacing w:line="300" w:lineRule="exact"/>
              <w:jc w:val="center"/>
              <w:rPr>
                <w:sz w:val="21"/>
                <w:szCs w:val="21"/>
              </w:rPr>
            </w:pPr>
            <w:r>
              <w:rPr>
                <w:sz w:val="21"/>
                <w:szCs w:val="21"/>
              </w:rPr>
              <w:t>[7699]</w:t>
            </w:r>
          </w:p>
        </w:tc>
        <w:tc>
          <w:tcPr>
            <w:tcW w:w="1345" w:type="dxa"/>
            <w:vAlign w:val="center"/>
          </w:tcPr>
          <w:p w:rsidR="000F7FAD" w:rsidRDefault="00BB4424">
            <w:pPr>
              <w:spacing w:line="300" w:lineRule="exact"/>
              <w:jc w:val="center"/>
              <w:rPr>
                <w:sz w:val="21"/>
                <w:szCs w:val="21"/>
              </w:rPr>
            </w:pPr>
            <w:r>
              <w:rPr>
                <w:sz w:val="21"/>
                <w:szCs w:val="21"/>
              </w:rPr>
              <w:t>预期性</w:t>
            </w:r>
          </w:p>
        </w:tc>
      </w:tr>
      <w:tr w:rsidR="000F7FAD">
        <w:trPr>
          <w:trHeight w:val="454"/>
          <w:jc w:val="center"/>
        </w:trPr>
        <w:tc>
          <w:tcPr>
            <w:tcW w:w="882" w:type="dxa"/>
            <w:vAlign w:val="center"/>
          </w:tcPr>
          <w:p w:rsidR="000F7FAD" w:rsidRDefault="00BB4424">
            <w:pPr>
              <w:adjustRightInd w:val="0"/>
              <w:snapToGrid w:val="0"/>
              <w:spacing w:line="300" w:lineRule="exact"/>
              <w:jc w:val="center"/>
              <w:rPr>
                <w:sz w:val="21"/>
                <w:szCs w:val="21"/>
              </w:rPr>
            </w:pPr>
            <w:r>
              <w:rPr>
                <w:sz w:val="21"/>
                <w:szCs w:val="21"/>
              </w:rPr>
              <w:t>16</w:t>
            </w:r>
          </w:p>
        </w:tc>
        <w:tc>
          <w:tcPr>
            <w:tcW w:w="3219" w:type="dxa"/>
            <w:vAlign w:val="center"/>
          </w:tcPr>
          <w:p w:rsidR="000F7FAD" w:rsidRDefault="00BB4424">
            <w:pPr>
              <w:adjustRightInd w:val="0"/>
              <w:snapToGrid w:val="0"/>
              <w:spacing w:line="300" w:lineRule="exact"/>
              <w:jc w:val="left"/>
              <w:rPr>
                <w:sz w:val="21"/>
                <w:szCs w:val="21"/>
              </w:rPr>
            </w:pPr>
            <w:r>
              <w:rPr>
                <w:sz w:val="21"/>
                <w:szCs w:val="21"/>
              </w:rPr>
              <w:t>高中初级专业技术人才比例</w:t>
            </w:r>
          </w:p>
        </w:tc>
        <w:tc>
          <w:tcPr>
            <w:tcW w:w="897" w:type="dxa"/>
            <w:vAlign w:val="center"/>
          </w:tcPr>
          <w:p w:rsidR="000F7FAD" w:rsidRDefault="00BB4424">
            <w:pPr>
              <w:adjustRightInd w:val="0"/>
              <w:snapToGrid w:val="0"/>
              <w:spacing w:line="300" w:lineRule="exact"/>
              <w:jc w:val="center"/>
              <w:rPr>
                <w:sz w:val="21"/>
                <w:szCs w:val="21"/>
              </w:rPr>
            </w:pPr>
            <w:r>
              <w:rPr>
                <w:sz w:val="21"/>
                <w:szCs w:val="21"/>
              </w:rPr>
              <w:t>%</w:t>
            </w:r>
          </w:p>
        </w:tc>
        <w:tc>
          <w:tcPr>
            <w:tcW w:w="1046" w:type="dxa"/>
            <w:vAlign w:val="center"/>
          </w:tcPr>
          <w:p w:rsidR="000F7FAD" w:rsidRDefault="00BB4424">
            <w:pPr>
              <w:adjustRightInd w:val="0"/>
              <w:snapToGrid w:val="0"/>
              <w:spacing w:line="300" w:lineRule="exact"/>
              <w:jc w:val="center"/>
              <w:rPr>
                <w:sz w:val="21"/>
                <w:szCs w:val="21"/>
              </w:rPr>
            </w:pPr>
            <w:r>
              <w:rPr>
                <w:sz w:val="21"/>
                <w:szCs w:val="21"/>
              </w:rPr>
              <w:t>8:35:57</w:t>
            </w:r>
          </w:p>
        </w:tc>
        <w:tc>
          <w:tcPr>
            <w:tcW w:w="1046" w:type="dxa"/>
            <w:vAlign w:val="center"/>
          </w:tcPr>
          <w:p w:rsidR="000F7FAD" w:rsidRDefault="00BB4424">
            <w:pPr>
              <w:adjustRightInd w:val="0"/>
              <w:snapToGrid w:val="0"/>
              <w:spacing w:line="300" w:lineRule="exact"/>
              <w:jc w:val="center"/>
              <w:rPr>
                <w:sz w:val="21"/>
                <w:szCs w:val="21"/>
              </w:rPr>
            </w:pPr>
            <w:r>
              <w:rPr>
                <w:sz w:val="21"/>
                <w:szCs w:val="21"/>
              </w:rPr>
              <w:t>5:37:58</w:t>
            </w:r>
          </w:p>
        </w:tc>
        <w:tc>
          <w:tcPr>
            <w:tcW w:w="1345" w:type="dxa"/>
            <w:vAlign w:val="center"/>
          </w:tcPr>
          <w:p w:rsidR="000F7FAD" w:rsidRDefault="00BB4424">
            <w:pPr>
              <w:spacing w:line="300" w:lineRule="exact"/>
              <w:jc w:val="center"/>
              <w:rPr>
                <w:sz w:val="21"/>
                <w:szCs w:val="21"/>
              </w:rPr>
            </w:pPr>
            <w:r>
              <w:rPr>
                <w:sz w:val="21"/>
                <w:szCs w:val="21"/>
              </w:rPr>
              <w:t>预期性</w:t>
            </w:r>
          </w:p>
        </w:tc>
      </w:tr>
      <w:tr w:rsidR="000F7FAD">
        <w:trPr>
          <w:trHeight w:val="454"/>
          <w:jc w:val="center"/>
        </w:trPr>
        <w:tc>
          <w:tcPr>
            <w:tcW w:w="8435" w:type="dxa"/>
            <w:gridSpan w:val="6"/>
            <w:vAlign w:val="center"/>
          </w:tcPr>
          <w:p w:rsidR="000F7FAD" w:rsidRDefault="00BB4424">
            <w:pPr>
              <w:adjustRightInd w:val="0"/>
              <w:snapToGrid w:val="0"/>
              <w:spacing w:line="300" w:lineRule="exact"/>
              <w:jc w:val="left"/>
              <w:rPr>
                <w:rFonts w:eastAsia="黑体"/>
                <w:sz w:val="21"/>
                <w:szCs w:val="21"/>
              </w:rPr>
            </w:pPr>
            <w:r>
              <w:rPr>
                <w:rFonts w:eastAsia="黑体"/>
                <w:sz w:val="21"/>
                <w:szCs w:val="21"/>
              </w:rPr>
              <w:t>五、劳动关系</w:t>
            </w:r>
          </w:p>
        </w:tc>
      </w:tr>
      <w:tr w:rsidR="000F7FAD">
        <w:trPr>
          <w:trHeight w:val="454"/>
          <w:jc w:val="center"/>
        </w:trPr>
        <w:tc>
          <w:tcPr>
            <w:tcW w:w="882" w:type="dxa"/>
            <w:vAlign w:val="center"/>
          </w:tcPr>
          <w:p w:rsidR="000F7FAD" w:rsidRDefault="00BB4424">
            <w:pPr>
              <w:adjustRightInd w:val="0"/>
              <w:snapToGrid w:val="0"/>
              <w:spacing w:line="300" w:lineRule="exact"/>
              <w:jc w:val="center"/>
              <w:rPr>
                <w:sz w:val="21"/>
                <w:szCs w:val="21"/>
              </w:rPr>
            </w:pPr>
            <w:r>
              <w:rPr>
                <w:sz w:val="21"/>
                <w:szCs w:val="21"/>
              </w:rPr>
              <w:t>17</w:t>
            </w:r>
          </w:p>
        </w:tc>
        <w:tc>
          <w:tcPr>
            <w:tcW w:w="3219" w:type="dxa"/>
            <w:vAlign w:val="center"/>
          </w:tcPr>
          <w:p w:rsidR="000F7FAD" w:rsidRDefault="00BB4424">
            <w:pPr>
              <w:adjustRightInd w:val="0"/>
              <w:snapToGrid w:val="0"/>
              <w:spacing w:line="300" w:lineRule="exact"/>
              <w:jc w:val="left"/>
              <w:rPr>
                <w:sz w:val="21"/>
                <w:szCs w:val="21"/>
              </w:rPr>
            </w:pPr>
            <w:r>
              <w:rPr>
                <w:sz w:val="21"/>
                <w:szCs w:val="21"/>
              </w:rPr>
              <w:t>企业劳动合同签订率</w:t>
            </w:r>
          </w:p>
        </w:tc>
        <w:tc>
          <w:tcPr>
            <w:tcW w:w="897" w:type="dxa"/>
            <w:vAlign w:val="center"/>
          </w:tcPr>
          <w:p w:rsidR="000F7FAD" w:rsidRDefault="00BB4424">
            <w:pPr>
              <w:adjustRightInd w:val="0"/>
              <w:snapToGrid w:val="0"/>
              <w:spacing w:line="300" w:lineRule="exact"/>
              <w:jc w:val="center"/>
              <w:rPr>
                <w:sz w:val="21"/>
                <w:szCs w:val="21"/>
              </w:rPr>
            </w:pPr>
            <w:r>
              <w:rPr>
                <w:sz w:val="21"/>
                <w:szCs w:val="21"/>
              </w:rPr>
              <w:t>%</w:t>
            </w:r>
          </w:p>
        </w:tc>
        <w:tc>
          <w:tcPr>
            <w:tcW w:w="1046" w:type="dxa"/>
            <w:vAlign w:val="center"/>
          </w:tcPr>
          <w:p w:rsidR="000F7FAD" w:rsidRDefault="00BB4424">
            <w:pPr>
              <w:adjustRightInd w:val="0"/>
              <w:snapToGrid w:val="0"/>
              <w:spacing w:line="300" w:lineRule="exact"/>
              <w:jc w:val="center"/>
              <w:rPr>
                <w:sz w:val="21"/>
                <w:szCs w:val="21"/>
              </w:rPr>
            </w:pPr>
            <w:r>
              <w:rPr>
                <w:sz w:val="21"/>
                <w:szCs w:val="21"/>
              </w:rPr>
              <w:t>95</w:t>
            </w:r>
          </w:p>
        </w:tc>
        <w:tc>
          <w:tcPr>
            <w:tcW w:w="1046" w:type="dxa"/>
            <w:vAlign w:val="center"/>
          </w:tcPr>
          <w:p w:rsidR="000F7FAD" w:rsidRDefault="00BB4424">
            <w:pPr>
              <w:adjustRightInd w:val="0"/>
              <w:snapToGrid w:val="0"/>
              <w:spacing w:line="300" w:lineRule="exact"/>
              <w:jc w:val="center"/>
              <w:rPr>
                <w:sz w:val="21"/>
                <w:szCs w:val="21"/>
              </w:rPr>
            </w:pPr>
            <w:r>
              <w:rPr>
                <w:sz w:val="21"/>
                <w:szCs w:val="21"/>
              </w:rPr>
              <w:t>99.1</w:t>
            </w:r>
          </w:p>
        </w:tc>
        <w:tc>
          <w:tcPr>
            <w:tcW w:w="1345" w:type="dxa"/>
            <w:vAlign w:val="center"/>
          </w:tcPr>
          <w:p w:rsidR="000F7FAD" w:rsidRDefault="00BB4424">
            <w:pPr>
              <w:spacing w:line="300" w:lineRule="exact"/>
              <w:jc w:val="center"/>
              <w:rPr>
                <w:sz w:val="21"/>
                <w:szCs w:val="21"/>
              </w:rPr>
            </w:pPr>
            <w:r>
              <w:rPr>
                <w:sz w:val="21"/>
                <w:szCs w:val="21"/>
              </w:rPr>
              <w:t>预期性</w:t>
            </w:r>
          </w:p>
        </w:tc>
      </w:tr>
      <w:tr w:rsidR="000F7FAD">
        <w:trPr>
          <w:trHeight w:val="454"/>
          <w:jc w:val="center"/>
        </w:trPr>
        <w:tc>
          <w:tcPr>
            <w:tcW w:w="882" w:type="dxa"/>
            <w:vAlign w:val="center"/>
          </w:tcPr>
          <w:p w:rsidR="000F7FAD" w:rsidRDefault="00BB4424">
            <w:pPr>
              <w:adjustRightInd w:val="0"/>
              <w:snapToGrid w:val="0"/>
              <w:spacing w:line="300" w:lineRule="exact"/>
              <w:jc w:val="center"/>
              <w:rPr>
                <w:sz w:val="21"/>
                <w:szCs w:val="21"/>
              </w:rPr>
            </w:pPr>
            <w:r>
              <w:rPr>
                <w:sz w:val="21"/>
                <w:szCs w:val="21"/>
              </w:rPr>
              <w:t>18</w:t>
            </w:r>
          </w:p>
        </w:tc>
        <w:tc>
          <w:tcPr>
            <w:tcW w:w="3219" w:type="dxa"/>
            <w:vAlign w:val="center"/>
          </w:tcPr>
          <w:p w:rsidR="000F7FAD" w:rsidRDefault="00BB4424">
            <w:pPr>
              <w:adjustRightInd w:val="0"/>
              <w:snapToGrid w:val="0"/>
              <w:spacing w:line="300" w:lineRule="exact"/>
              <w:jc w:val="left"/>
              <w:rPr>
                <w:sz w:val="21"/>
                <w:szCs w:val="21"/>
              </w:rPr>
            </w:pPr>
            <w:r>
              <w:rPr>
                <w:sz w:val="21"/>
                <w:szCs w:val="21"/>
              </w:rPr>
              <w:t>劳动人事争议仲裁结案率</w:t>
            </w:r>
          </w:p>
        </w:tc>
        <w:tc>
          <w:tcPr>
            <w:tcW w:w="897" w:type="dxa"/>
            <w:vAlign w:val="center"/>
          </w:tcPr>
          <w:p w:rsidR="000F7FAD" w:rsidRDefault="00BB4424">
            <w:pPr>
              <w:adjustRightInd w:val="0"/>
              <w:snapToGrid w:val="0"/>
              <w:spacing w:line="300" w:lineRule="exact"/>
              <w:jc w:val="center"/>
              <w:rPr>
                <w:sz w:val="21"/>
                <w:szCs w:val="21"/>
              </w:rPr>
            </w:pPr>
            <w:r>
              <w:rPr>
                <w:sz w:val="21"/>
                <w:szCs w:val="21"/>
              </w:rPr>
              <w:t>%</w:t>
            </w:r>
          </w:p>
        </w:tc>
        <w:tc>
          <w:tcPr>
            <w:tcW w:w="1046" w:type="dxa"/>
            <w:vAlign w:val="center"/>
          </w:tcPr>
          <w:p w:rsidR="000F7FAD" w:rsidRDefault="00BB4424">
            <w:pPr>
              <w:adjustRightInd w:val="0"/>
              <w:snapToGrid w:val="0"/>
              <w:spacing w:line="300" w:lineRule="exact"/>
              <w:jc w:val="center"/>
              <w:rPr>
                <w:sz w:val="21"/>
                <w:szCs w:val="21"/>
              </w:rPr>
            </w:pPr>
            <w:r>
              <w:rPr>
                <w:sz w:val="21"/>
                <w:szCs w:val="21"/>
              </w:rPr>
              <w:t>90</w:t>
            </w:r>
          </w:p>
        </w:tc>
        <w:tc>
          <w:tcPr>
            <w:tcW w:w="1046" w:type="dxa"/>
            <w:vAlign w:val="center"/>
          </w:tcPr>
          <w:p w:rsidR="000F7FAD" w:rsidRDefault="00BB4424">
            <w:pPr>
              <w:adjustRightInd w:val="0"/>
              <w:snapToGrid w:val="0"/>
              <w:spacing w:line="300" w:lineRule="exact"/>
              <w:jc w:val="center"/>
              <w:rPr>
                <w:sz w:val="21"/>
                <w:szCs w:val="21"/>
              </w:rPr>
            </w:pPr>
            <w:r>
              <w:rPr>
                <w:sz w:val="21"/>
                <w:szCs w:val="21"/>
              </w:rPr>
              <w:t>96</w:t>
            </w:r>
          </w:p>
        </w:tc>
        <w:tc>
          <w:tcPr>
            <w:tcW w:w="1345" w:type="dxa"/>
            <w:vAlign w:val="center"/>
          </w:tcPr>
          <w:p w:rsidR="000F7FAD" w:rsidRDefault="00BB4424">
            <w:pPr>
              <w:spacing w:line="300" w:lineRule="exact"/>
              <w:jc w:val="center"/>
              <w:rPr>
                <w:sz w:val="21"/>
                <w:szCs w:val="21"/>
              </w:rPr>
            </w:pPr>
            <w:r>
              <w:rPr>
                <w:sz w:val="21"/>
                <w:szCs w:val="21"/>
              </w:rPr>
              <w:t>约束性</w:t>
            </w:r>
          </w:p>
        </w:tc>
      </w:tr>
    </w:tbl>
    <w:p w:rsidR="000F7FAD" w:rsidRDefault="00BB4424">
      <w:pPr>
        <w:spacing w:line="300" w:lineRule="exact"/>
        <w:ind w:firstLine="420"/>
        <w:rPr>
          <w:sz w:val="21"/>
          <w:szCs w:val="21"/>
        </w:rPr>
      </w:pPr>
      <w:r>
        <w:rPr>
          <w:sz w:val="21"/>
          <w:szCs w:val="21"/>
        </w:rPr>
        <w:lastRenderedPageBreak/>
        <w:t>注：</w:t>
      </w:r>
      <w:r>
        <w:rPr>
          <w:sz w:val="21"/>
          <w:szCs w:val="21"/>
        </w:rPr>
        <w:t>1. [  ]</w:t>
      </w:r>
      <w:r>
        <w:rPr>
          <w:sz w:val="21"/>
          <w:szCs w:val="21"/>
        </w:rPr>
        <w:t>内为五年累计数。</w:t>
      </w:r>
      <w:r>
        <w:rPr>
          <w:sz w:val="21"/>
          <w:szCs w:val="21"/>
        </w:rPr>
        <w:t xml:space="preserve">2. </w:t>
      </w:r>
      <w:r>
        <w:rPr>
          <w:sz w:val="21"/>
          <w:szCs w:val="21"/>
        </w:rPr>
        <w:t>国际化技能人才：本市公办职业院校（含技工院校）与境外（含港澳台）应用型大学、职业院校、行业协会、企业合作开设国际课程班，由国际课程班培养的具有国际职业教育背景的学生。</w:t>
      </w:r>
    </w:p>
    <w:p w:rsidR="000F7FAD" w:rsidRDefault="00BB4424">
      <w:pPr>
        <w:pStyle w:val="20"/>
        <w:rPr>
          <w:rFonts w:ascii="Times New Roman" w:hAnsi="Times New Roman"/>
        </w:rPr>
      </w:pPr>
      <w:bookmarkStart w:id="5" w:name="_Toc14445"/>
      <w:bookmarkStart w:id="6" w:name="_Toc10674"/>
      <w:r>
        <w:rPr>
          <w:rFonts w:ascii="Times New Roman" w:hAnsi="Times New Roman"/>
        </w:rPr>
        <w:t>第二节</w:t>
      </w:r>
      <w:r>
        <w:rPr>
          <w:rFonts w:ascii="Times New Roman" w:eastAsia="宋体" w:hAnsi="Times New Roman"/>
        </w:rPr>
        <w:t xml:space="preserve"> </w:t>
      </w:r>
      <w:r>
        <w:rPr>
          <w:rFonts w:ascii="Times New Roman" w:hAnsi="Times New Roman"/>
        </w:rPr>
        <w:t xml:space="preserve"> </w:t>
      </w:r>
      <w:r>
        <w:rPr>
          <w:rFonts w:ascii="Times New Roman" w:hAnsi="Times New Roman"/>
        </w:rPr>
        <w:t>发展形势</w:t>
      </w:r>
      <w:bookmarkEnd w:id="5"/>
      <w:bookmarkEnd w:id="6"/>
    </w:p>
    <w:p w:rsidR="000F7FAD" w:rsidRDefault="00BB4424">
      <w:pPr>
        <w:topLinePunct/>
        <w:autoSpaceDE w:val="0"/>
        <w:autoSpaceDN w:val="0"/>
        <w:snapToGrid w:val="0"/>
        <w:spacing w:line="570" w:lineRule="exact"/>
        <w:ind w:firstLineChars="200" w:firstLine="640"/>
        <w:rPr>
          <w:sz w:val="32"/>
          <w:szCs w:val="32"/>
        </w:rPr>
      </w:pPr>
      <w:r>
        <w:rPr>
          <w:rFonts w:hint="eastAsia"/>
          <w:sz w:val="32"/>
          <w:szCs w:val="32"/>
        </w:rPr>
        <w:t>“</w:t>
      </w:r>
      <w:r>
        <w:rPr>
          <w:sz w:val="32"/>
          <w:szCs w:val="32"/>
        </w:rPr>
        <w:t>十四五</w:t>
      </w:r>
      <w:r>
        <w:rPr>
          <w:rFonts w:hint="eastAsia"/>
          <w:sz w:val="32"/>
          <w:szCs w:val="32"/>
        </w:rPr>
        <w:t>”</w:t>
      </w:r>
      <w:r>
        <w:rPr>
          <w:sz w:val="32"/>
          <w:szCs w:val="32"/>
        </w:rPr>
        <w:t>时期是</w:t>
      </w:r>
      <w:r>
        <w:rPr>
          <w:rFonts w:hint="eastAsia"/>
          <w:szCs w:val="32"/>
        </w:rPr>
        <w:t>我国全面建成小康社会、</w:t>
      </w:r>
      <w:r>
        <w:rPr>
          <w:szCs w:val="32"/>
        </w:rPr>
        <w:t>实现第一个百年奋斗目标之后，</w:t>
      </w:r>
      <w:r>
        <w:rPr>
          <w:rFonts w:hint="eastAsia"/>
          <w:szCs w:val="32"/>
        </w:rPr>
        <w:t>乘势而上开启全面建设社会主义现代化国家新征程</w:t>
      </w:r>
      <w:r>
        <w:rPr>
          <w:szCs w:val="32"/>
        </w:rPr>
        <w:t>、向第二个百年奋斗目标进军的第一个五年</w:t>
      </w:r>
      <w:r>
        <w:rPr>
          <w:sz w:val="32"/>
          <w:szCs w:val="32"/>
        </w:rPr>
        <w:t>。我市</w:t>
      </w:r>
      <w:r>
        <w:rPr>
          <w:rFonts w:hint="eastAsia"/>
          <w:sz w:val="32"/>
          <w:szCs w:val="32"/>
        </w:rPr>
        <w:t>人力资源社会保障事业发展的内外部环境和自身条件都发生复杂而深刻的变化，机遇与挑战并存，但机遇大于挑战。</w:t>
      </w:r>
    </w:p>
    <w:p w:rsidR="000F7FAD" w:rsidRDefault="00BB4424">
      <w:pPr>
        <w:topLinePunct/>
        <w:autoSpaceDE w:val="0"/>
        <w:autoSpaceDN w:val="0"/>
        <w:snapToGrid w:val="0"/>
        <w:spacing w:line="570" w:lineRule="exact"/>
        <w:ind w:firstLineChars="200" w:firstLine="640"/>
        <w:rPr>
          <w:rFonts w:ascii="楷体_GB2312" w:eastAsia="楷体_GB2312"/>
          <w:sz w:val="32"/>
          <w:szCs w:val="32"/>
        </w:rPr>
      </w:pPr>
      <w:r>
        <w:rPr>
          <w:rFonts w:ascii="楷体_GB2312" w:eastAsia="楷体_GB2312" w:hint="eastAsia"/>
          <w:sz w:val="32"/>
          <w:szCs w:val="32"/>
        </w:rPr>
        <w:t>（一）发展机遇</w:t>
      </w:r>
    </w:p>
    <w:p w:rsidR="000F7FAD" w:rsidRDefault="00BB4424">
      <w:pPr>
        <w:topLinePunct/>
        <w:autoSpaceDE w:val="0"/>
        <w:autoSpaceDN w:val="0"/>
        <w:snapToGrid w:val="0"/>
        <w:spacing w:line="570" w:lineRule="exact"/>
        <w:ind w:firstLineChars="200" w:firstLine="640"/>
        <w:rPr>
          <w:sz w:val="32"/>
          <w:szCs w:val="32"/>
        </w:rPr>
      </w:pPr>
      <w:r>
        <w:rPr>
          <w:rFonts w:hint="eastAsia"/>
          <w:sz w:val="32"/>
          <w:szCs w:val="32"/>
        </w:rPr>
        <w:t>党中央、国务院坚持以人民为中心的发展思想，立足新发展阶段，贯彻新发展理念，构建新发展格局，提出人民生活更加美好和人的全面发展、全体人民共同富裕取得更为明显的实质性进展等远景目标，赋予了人力资源社会保障工作新的时代内涵和使命任务。立足“双万”新起点，市委市政府以奋力推动东莞在现代化建设新征程中争先进位、走在前列为总目标，加快打造大湾区科技创新新高地、先进制造新高地、人才集聚新高地、体制机制新</w:t>
      </w:r>
      <w:r>
        <w:rPr>
          <w:rFonts w:hint="eastAsia"/>
          <w:sz w:val="32"/>
          <w:szCs w:val="32"/>
        </w:rPr>
        <w:t>高地、综合环境新高地、和谐善治新高地、民生幸福新高地，为我市人力资源社会保障事业发展拓展新空间、增创新优势带来重大机遇。东莞与深圳携手打造大湾区综合性国家科学中心，建设省制造业供给侧结构性改革创新实验区，叠加“双区”和两个合作区建设机遇，将为人力资源社会</w:t>
      </w:r>
      <w:r>
        <w:rPr>
          <w:rFonts w:hint="eastAsia"/>
          <w:sz w:val="32"/>
          <w:szCs w:val="32"/>
        </w:rPr>
        <w:lastRenderedPageBreak/>
        <w:t>保障事业改革创新发展注入新动力。</w:t>
      </w:r>
    </w:p>
    <w:p w:rsidR="000F7FAD" w:rsidRDefault="00BB4424">
      <w:pPr>
        <w:topLinePunct/>
        <w:autoSpaceDE w:val="0"/>
        <w:autoSpaceDN w:val="0"/>
        <w:snapToGrid w:val="0"/>
        <w:spacing w:line="570" w:lineRule="exact"/>
        <w:ind w:firstLineChars="200" w:firstLine="640"/>
        <w:rPr>
          <w:rFonts w:ascii="楷体_GB2312" w:eastAsia="楷体_GB2312"/>
          <w:sz w:val="32"/>
          <w:szCs w:val="32"/>
        </w:rPr>
      </w:pPr>
      <w:r>
        <w:rPr>
          <w:rFonts w:ascii="楷体_GB2312" w:eastAsia="楷体_GB2312" w:hint="eastAsia"/>
          <w:sz w:val="32"/>
          <w:szCs w:val="32"/>
        </w:rPr>
        <w:t>（二）面临挑战</w:t>
      </w:r>
    </w:p>
    <w:p w:rsidR="000F7FAD" w:rsidRDefault="00BB4424">
      <w:pPr>
        <w:topLinePunct/>
        <w:autoSpaceDE w:val="0"/>
        <w:autoSpaceDN w:val="0"/>
        <w:snapToGrid w:val="0"/>
        <w:spacing w:line="570" w:lineRule="exact"/>
        <w:ind w:firstLineChars="200" w:firstLine="640"/>
        <w:rPr>
          <w:sz w:val="32"/>
          <w:szCs w:val="32"/>
        </w:rPr>
      </w:pPr>
      <w:r>
        <w:rPr>
          <w:rFonts w:hint="eastAsia"/>
          <w:sz w:val="32"/>
          <w:szCs w:val="32"/>
        </w:rPr>
        <w:t>不稳定不确定性明显增加，保持经济运行在合理区间面临较大压力，人力资源社会保障工作面临挑战不容忽视。人力资本与产业升级不相适应，人才队伍建设与科技创新和先进制造要求不匹配，对高端项目、高素质人才的吸引力不够强，</w:t>
      </w:r>
      <w:r>
        <w:rPr>
          <w:rFonts w:hint="eastAsia"/>
          <w:sz w:val="32"/>
          <w:szCs w:val="32"/>
        </w:rPr>
        <w:t>把人口优势转化为人才优势还需要下更大功夫。就业选择与就业需求错配，就业不饱和与劳动力短缺并存，结构性矛盾更加突出。人口老龄化程度持续加深，社会保障制度的可持续发展面临挑战。事业单位人事制度改革的系统性、协同性有待加强。社会转型加速，利益诉求多变，新业态蓬勃发展，劳动关系稳定面临较大挑战，人社公共服务体系有待完善。</w:t>
      </w:r>
    </w:p>
    <w:p w:rsidR="000F7FAD" w:rsidRDefault="00BB4424">
      <w:pPr>
        <w:pStyle w:val="1"/>
      </w:pPr>
      <w:bookmarkStart w:id="7" w:name="_Toc26454"/>
      <w:bookmarkStart w:id="8" w:name="_Toc8103"/>
      <w:r>
        <w:rPr>
          <w:rFonts w:hint="eastAsia"/>
        </w:rPr>
        <w:t>第二章</w:t>
      </w:r>
      <w:r>
        <w:rPr>
          <w:rFonts w:hint="eastAsia"/>
        </w:rPr>
        <w:t xml:space="preserve"> </w:t>
      </w:r>
      <w:r>
        <w:t xml:space="preserve"> </w:t>
      </w:r>
      <w:r>
        <w:rPr>
          <w:rFonts w:hint="eastAsia"/>
        </w:rPr>
        <w:t>总体要求</w:t>
      </w:r>
      <w:bookmarkEnd w:id="7"/>
      <w:bookmarkEnd w:id="8"/>
    </w:p>
    <w:p w:rsidR="000F7FAD" w:rsidRDefault="00BB4424">
      <w:pPr>
        <w:pStyle w:val="20"/>
      </w:pPr>
      <w:bookmarkStart w:id="9" w:name="_Toc1545"/>
      <w:bookmarkStart w:id="10" w:name="_Toc14650"/>
      <w:r>
        <w:rPr>
          <w:rFonts w:hint="eastAsia"/>
        </w:rPr>
        <w:t>第一节</w:t>
      </w:r>
      <w:r>
        <w:rPr>
          <w:rFonts w:hint="eastAsia"/>
        </w:rPr>
        <w:t xml:space="preserve"> </w:t>
      </w:r>
      <w:r>
        <w:t xml:space="preserve"> </w:t>
      </w:r>
      <w:r>
        <w:rPr>
          <w:rFonts w:hint="eastAsia"/>
        </w:rPr>
        <w:t>指导思想</w:t>
      </w:r>
      <w:bookmarkEnd w:id="9"/>
      <w:bookmarkEnd w:id="10"/>
    </w:p>
    <w:p w:rsidR="000F7FAD" w:rsidRDefault="00BB4424">
      <w:pPr>
        <w:topLinePunct/>
        <w:autoSpaceDE w:val="0"/>
        <w:autoSpaceDN w:val="0"/>
        <w:snapToGrid w:val="0"/>
        <w:spacing w:line="570" w:lineRule="exact"/>
        <w:ind w:firstLineChars="200" w:firstLine="640"/>
      </w:pPr>
      <w:r>
        <w:rPr>
          <w:rFonts w:hint="eastAsia"/>
          <w:sz w:val="32"/>
          <w:szCs w:val="32"/>
        </w:rPr>
        <w:t>以习近平新时代中国特色社会主义思想为指导，深入贯彻党的十九大和十九届历次全会精神，落实省委省政府、市委市政府以及上级人社部门的部署安排，坚定不移贯彻新发展理念，坚持以人民为中心的发展思想，围绕中心、服务大局，聚焦科技创新和先进制造，努力实现经济在万亿新起点上加快高质量发展，实现千万人口与城市深度融合、共生共荣，突出“共建</w:t>
      </w:r>
      <w:r>
        <w:rPr>
          <w:rFonts w:hint="eastAsia"/>
          <w:sz w:val="32"/>
          <w:szCs w:val="32"/>
        </w:rPr>
        <w:lastRenderedPageBreak/>
        <w:t>成长之城</w:t>
      </w:r>
      <w:r>
        <w:rPr>
          <w:rFonts w:hint="eastAsia"/>
          <w:sz w:val="32"/>
          <w:szCs w:val="32"/>
        </w:rPr>
        <w:t xml:space="preserve"> </w:t>
      </w:r>
      <w:r>
        <w:rPr>
          <w:rFonts w:hint="eastAsia"/>
          <w:sz w:val="32"/>
          <w:szCs w:val="32"/>
        </w:rPr>
        <w:t>提升人力效能”主题主线，以改革创新为根本动力，以满足人民日益增长的美好生活需要为根本目的，以人才为第一资源、民生为第一追求，全面建设人才集聚、和谐善治和民生幸福新高地，为东莞经济社</w:t>
      </w:r>
      <w:r>
        <w:rPr>
          <w:rFonts w:hint="eastAsia"/>
          <w:sz w:val="32"/>
          <w:szCs w:val="32"/>
        </w:rPr>
        <w:t>会高质量发展提供民生保障和要素支撑。</w:t>
      </w:r>
    </w:p>
    <w:p w:rsidR="000F7FAD" w:rsidRDefault="00BB4424">
      <w:pPr>
        <w:pStyle w:val="20"/>
      </w:pPr>
      <w:bookmarkStart w:id="11" w:name="_Toc13203"/>
      <w:bookmarkStart w:id="12" w:name="_Toc18848"/>
      <w:r>
        <w:rPr>
          <w:rFonts w:hint="eastAsia"/>
        </w:rPr>
        <w:t>第二节</w:t>
      </w:r>
      <w:r>
        <w:rPr>
          <w:rFonts w:hint="eastAsia"/>
        </w:rPr>
        <w:t xml:space="preserve"> </w:t>
      </w:r>
      <w:r>
        <w:t xml:space="preserve"> </w:t>
      </w:r>
      <w:r>
        <w:rPr>
          <w:rFonts w:hint="eastAsia"/>
        </w:rPr>
        <w:t>基本原则</w:t>
      </w:r>
      <w:bookmarkEnd w:id="11"/>
      <w:bookmarkEnd w:id="12"/>
    </w:p>
    <w:p w:rsidR="000F7FAD" w:rsidRDefault="00BB4424">
      <w:pPr>
        <w:topLinePunct/>
        <w:autoSpaceDE w:val="0"/>
        <w:autoSpaceDN w:val="0"/>
        <w:snapToGrid w:val="0"/>
        <w:spacing w:line="580" w:lineRule="exact"/>
        <w:ind w:firstLineChars="200" w:firstLine="640"/>
        <w:rPr>
          <w:sz w:val="32"/>
          <w:szCs w:val="32"/>
        </w:rPr>
      </w:pPr>
      <w:r>
        <w:rPr>
          <w:sz w:val="32"/>
          <w:szCs w:val="32"/>
        </w:rPr>
        <w:t>——</w:t>
      </w:r>
      <w:r>
        <w:rPr>
          <w:rFonts w:ascii="楷体_GB2312" w:eastAsia="楷体_GB2312" w:hint="eastAsia"/>
          <w:sz w:val="32"/>
          <w:szCs w:val="32"/>
        </w:rPr>
        <w:t>坚持党的全面领导。</w:t>
      </w:r>
      <w:r>
        <w:rPr>
          <w:rFonts w:hint="eastAsia"/>
          <w:sz w:val="32"/>
          <w:szCs w:val="32"/>
        </w:rPr>
        <w:t>深刻认识“两个确立”的决定性意义，坚决做到“两个维护”，充分发挥党总揽全局、协调各方的领导核心作用，推动全面从严治党向纵深发展，持续提高贯彻新发展理念、构建新发展格局的能力和水平。</w:t>
      </w:r>
    </w:p>
    <w:p w:rsidR="000F7FAD" w:rsidRDefault="00BB4424">
      <w:pPr>
        <w:topLinePunct/>
        <w:autoSpaceDE w:val="0"/>
        <w:autoSpaceDN w:val="0"/>
        <w:snapToGrid w:val="0"/>
        <w:spacing w:line="580" w:lineRule="exact"/>
        <w:ind w:firstLineChars="200" w:firstLine="640"/>
        <w:rPr>
          <w:sz w:val="32"/>
          <w:szCs w:val="32"/>
        </w:rPr>
      </w:pPr>
      <w:r>
        <w:rPr>
          <w:sz w:val="32"/>
          <w:szCs w:val="32"/>
        </w:rPr>
        <w:t>——</w:t>
      </w:r>
      <w:r>
        <w:rPr>
          <w:rFonts w:ascii="楷体_GB2312" w:eastAsia="楷体_GB2312" w:hint="eastAsia"/>
          <w:sz w:val="32"/>
          <w:szCs w:val="32"/>
        </w:rPr>
        <w:t>坚持以人民为中心。</w:t>
      </w:r>
      <w:r>
        <w:rPr>
          <w:rFonts w:hint="eastAsia"/>
          <w:sz w:val="32"/>
          <w:szCs w:val="32"/>
        </w:rPr>
        <w:t>坚持共同富裕方向，把人民对美好生活的向往作为奋斗目标，强化精准服务理念，主动响应群众全生命周期发展需求，不断完善人社政策体系、服务模式，增进民生福祉。</w:t>
      </w:r>
    </w:p>
    <w:p w:rsidR="000F7FAD" w:rsidRDefault="00BB4424">
      <w:pPr>
        <w:topLinePunct/>
        <w:autoSpaceDE w:val="0"/>
        <w:autoSpaceDN w:val="0"/>
        <w:snapToGrid w:val="0"/>
        <w:spacing w:line="580" w:lineRule="exact"/>
        <w:ind w:firstLineChars="200" w:firstLine="640"/>
        <w:rPr>
          <w:sz w:val="32"/>
          <w:szCs w:val="32"/>
        </w:rPr>
      </w:pPr>
      <w:r>
        <w:rPr>
          <w:sz w:val="32"/>
          <w:szCs w:val="32"/>
        </w:rPr>
        <w:t>——</w:t>
      </w:r>
      <w:r>
        <w:rPr>
          <w:rFonts w:ascii="楷体_GB2312" w:eastAsia="楷体_GB2312" w:hint="eastAsia"/>
          <w:sz w:val="32"/>
          <w:szCs w:val="32"/>
        </w:rPr>
        <w:t>坚持新发展理念。</w:t>
      </w:r>
      <w:r>
        <w:rPr>
          <w:rFonts w:hint="eastAsia"/>
          <w:sz w:val="32"/>
          <w:szCs w:val="32"/>
        </w:rPr>
        <w:t>把新发展理念贯穿到人力资源社会保障事业发展全过程，注重发</w:t>
      </w:r>
      <w:r>
        <w:rPr>
          <w:rFonts w:hint="eastAsia"/>
          <w:sz w:val="32"/>
          <w:szCs w:val="32"/>
        </w:rPr>
        <w:t>挥各方面积极性，突出共建共治共享，推动人力资源和社会保障事业更高质量、更有效率、更加公平、更可持续、更为安全发展。</w:t>
      </w:r>
    </w:p>
    <w:p w:rsidR="000F7FAD" w:rsidRDefault="00BB4424">
      <w:pPr>
        <w:topLinePunct/>
        <w:autoSpaceDE w:val="0"/>
        <w:autoSpaceDN w:val="0"/>
        <w:snapToGrid w:val="0"/>
        <w:spacing w:line="580" w:lineRule="exact"/>
        <w:ind w:firstLineChars="200" w:firstLine="640"/>
        <w:rPr>
          <w:sz w:val="32"/>
          <w:szCs w:val="32"/>
        </w:rPr>
      </w:pPr>
      <w:r>
        <w:rPr>
          <w:sz w:val="32"/>
          <w:szCs w:val="32"/>
        </w:rPr>
        <w:t>——</w:t>
      </w:r>
      <w:r>
        <w:rPr>
          <w:rFonts w:ascii="楷体_GB2312" w:eastAsia="楷体_GB2312" w:hint="eastAsia"/>
          <w:sz w:val="32"/>
          <w:szCs w:val="32"/>
        </w:rPr>
        <w:t>坚持深化改革开放。</w:t>
      </w:r>
      <w:r>
        <w:rPr>
          <w:rFonts w:hint="eastAsia"/>
          <w:sz w:val="32"/>
          <w:szCs w:val="32"/>
        </w:rPr>
        <w:t>主动对标先进地区，立足东莞实际，强化需求侧响应和供给侧改革协同，探索实践人力效能模式，着力破解人力资源社会保障领域制约高质量发展、高品质</w:t>
      </w:r>
      <w:r>
        <w:rPr>
          <w:rFonts w:hint="eastAsia"/>
          <w:sz w:val="32"/>
          <w:szCs w:val="32"/>
        </w:rPr>
        <w:lastRenderedPageBreak/>
        <w:t>生活的体制机制障碍，持续增强事业发展动力和活力。</w:t>
      </w:r>
    </w:p>
    <w:p w:rsidR="000F7FAD" w:rsidRDefault="00BB4424">
      <w:pPr>
        <w:topLinePunct/>
        <w:autoSpaceDE w:val="0"/>
        <w:autoSpaceDN w:val="0"/>
        <w:snapToGrid w:val="0"/>
        <w:spacing w:line="580" w:lineRule="exact"/>
        <w:ind w:firstLineChars="200" w:firstLine="640"/>
        <w:rPr>
          <w:sz w:val="32"/>
          <w:szCs w:val="32"/>
        </w:rPr>
      </w:pPr>
      <w:r>
        <w:rPr>
          <w:sz w:val="32"/>
          <w:szCs w:val="32"/>
        </w:rPr>
        <w:t>——</w:t>
      </w:r>
      <w:r>
        <w:rPr>
          <w:rFonts w:ascii="楷体_GB2312" w:eastAsia="楷体_GB2312" w:hint="eastAsia"/>
          <w:sz w:val="32"/>
          <w:szCs w:val="32"/>
        </w:rPr>
        <w:t>坚持系统观念。</w:t>
      </w:r>
      <w:r>
        <w:rPr>
          <w:rFonts w:hint="eastAsia"/>
          <w:sz w:val="32"/>
          <w:szCs w:val="32"/>
        </w:rPr>
        <w:t>坚持围绕中心、服务大局，加强前瞻性思考、全局性谋划、战略性布局、整体性推进，强化人力资源社会保障事业与各领域协同联动，实现人力资源和社会保障事业发展质量、结构、规模、效益</w:t>
      </w:r>
      <w:r>
        <w:rPr>
          <w:rFonts w:hint="eastAsia"/>
          <w:sz w:val="32"/>
          <w:szCs w:val="32"/>
        </w:rPr>
        <w:t>、安全相统一。</w:t>
      </w:r>
    </w:p>
    <w:p w:rsidR="000F7FAD" w:rsidRDefault="00BB4424">
      <w:pPr>
        <w:topLinePunct/>
        <w:autoSpaceDE w:val="0"/>
        <w:autoSpaceDN w:val="0"/>
        <w:snapToGrid w:val="0"/>
        <w:spacing w:line="580" w:lineRule="exact"/>
        <w:ind w:firstLineChars="200" w:firstLine="640"/>
        <w:rPr>
          <w:sz w:val="32"/>
          <w:szCs w:val="32"/>
        </w:rPr>
      </w:pPr>
      <w:r>
        <w:rPr>
          <w:sz w:val="32"/>
          <w:szCs w:val="32"/>
        </w:rPr>
        <w:t>——</w:t>
      </w:r>
      <w:r>
        <w:rPr>
          <w:rFonts w:ascii="楷体_GB2312" w:eastAsia="楷体_GB2312" w:hint="eastAsia"/>
          <w:sz w:val="32"/>
          <w:szCs w:val="32"/>
        </w:rPr>
        <w:t>坚持依法行政。</w:t>
      </w:r>
      <w:r>
        <w:rPr>
          <w:rFonts w:hint="eastAsia"/>
          <w:sz w:val="32"/>
          <w:szCs w:val="32"/>
        </w:rPr>
        <w:t>贯彻全面依法治国基本方略，提高运用法治思维和法治方式分析、解决问题的能力，推动人力资源和社会保障工作全面纳入法治轨道。合理调节各方面利益，做好教育宣传引导，促进社会公平公正、稳定和谐。</w:t>
      </w:r>
    </w:p>
    <w:p w:rsidR="000F7FAD" w:rsidRDefault="00BB4424">
      <w:pPr>
        <w:pStyle w:val="20"/>
      </w:pPr>
      <w:bookmarkStart w:id="13" w:name="_Toc7313"/>
      <w:bookmarkStart w:id="14" w:name="_Toc24685"/>
      <w:r>
        <w:rPr>
          <w:rFonts w:hint="eastAsia"/>
        </w:rPr>
        <w:t>第三节</w:t>
      </w:r>
      <w:r>
        <w:rPr>
          <w:rFonts w:hint="eastAsia"/>
        </w:rPr>
        <w:t xml:space="preserve"> </w:t>
      </w:r>
      <w:r>
        <w:t xml:space="preserve"> </w:t>
      </w:r>
      <w:r>
        <w:rPr>
          <w:rFonts w:hint="eastAsia"/>
        </w:rPr>
        <w:t>发展目标</w:t>
      </w:r>
      <w:bookmarkEnd w:id="13"/>
      <w:bookmarkEnd w:id="14"/>
    </w:p>
    <w:p w:rsidR="000F7FAD" w:rsidRDefault="00BB4424">
      <w:pPr>
        <w:pStyle w:val="a6"/>
        <w:ind w:firstLineChars="200" w:firstLine="640"/>
      </w:pPr>
      <w:r>
        <w:rPr>
          <w:rFonts w:ascii="楷体_GB2312" w:eastAsia="楷体_GB2312" w:hint="eastAsia"/>
          <w:sz w:val="32"/>
          <w:szCs w:val="32"/>
        </w:rPr>
        <w:t>总体目标：</w:t>
      </w:r>
      <w:r>
        <w:rPr>
          <w:rFonts w:hint="eastAsia"/>
          <w:sz w:val="32"/>
          <w:szCs w:val="32"/>
        </w:rPr>
        <w:t>到</w:t>
      </w:r>
      <w:r>
        <w:rPr>
          <w:rFonts w:hint="eastAsia"/>
          <w:sz w:val="32"/>
          <w:szCs w:val="32"/>
        </w:rPr>
        <w:t>2025</w:t>
      </w:r>
      <w:r>
        <w:rPr>
          <w:rFonts w:hint="eastAsia"/>
          <w:sz w:val="32"/>
          <w:szCs w:val="32"/>
        </w:rPr>
        <w:t>年，东莞人力资源社会保障制度体系更加成熟完善。以更加积极的就业政策，推动实现更加充分更高质量就业。以社保卡为载体打造</w:t>
      </w:r>
      <w:r>
        <w:rPr>
          <w:rFonts w:ascii="仿宋_GB2312" w:hint="eastAsia"/>
          <w:sz w:val="32"/>
          <w:szCs w:val="32"/>
        </w:rPr>
        <w:t>惠民便民</w:t>
      </w:r>
      <w:r>
        <w:rPr>
          <w:rFonts w:hint="eastAsia"/>
          <w:sz w:val="32"/>
          <w:szCs w:val="32"/>
        </w:rPr>
        <w:t>市民卡，建成居民服务“一卡通”全国全省新范例。以更加积极、更加开放、更有效的人才政策，深化“技能人才之都”建设，加快打造大湾区人</w:t>
      </w:r>
      <w:r>
        <w:rPr>
          <w:rFonts w:hint="eastAsia"/>
          <w:sz w:val="32"/>
          <w:szCs w:val="32"/>
        </w:rPr>
        <w:t>才集聚新高地。以建设国家级人力资源服务产业园为引领，全面提升人力资源服务效能。以更加健全的劳资纠纷预防化解和根治欠薪源头治理体系，打造</w:t>
      </w:r>
      <w:r>
        <w:rPr>
          <w:rFonts w:hint="eastAsia"/>
          <w:sz w:val="32"/>
          <w:szCs w:val="32"/>
        </w:rPr>
        <w:t>新型和谐劳动</w:t>
      </w:r>
      <w:r>
        <w:rPr>
          <w:rFonts w:hint="eastAsia"/>
          <w:sz w:val="32"/>
          <w:szCs w:val="32"/>
        </w:rPr>
        <w:t>关系城市。努力把东莞建成广大劳动者和各类人才的向往之地、成长之城。</w:t>
      </w:r>
    </w:p>
    <w:p w:rsidR="000F7FAD" w:rsidRDefault="00BB4424">
      <w:pPr>
        <w:topLinePunct/>
        <w:autoSpaceDE w:val="0"/>
        <w:autoSpaceDN w:val="0"/>
        <w:snapToGrid w:val="0"/>
        <w:spacing w:line="570" w:lineRule="exact"/>
        <w:ind w:firstLineChars="200" w:firstLine="640"/>
        <w:rPr>
          <w:rFonts w:eastAsia="楷体_GB2312"/>
          <w:sz w:val="32"/>
          <w:szCs w:val="32"/>
        </w:rPr>
      </w:pPr>
      <w:r>
        <w:rPr>
          <w:rFonts w:eastAsia="楷体_GB2312"/>
          <w:sz w:val="32"/>
          <w:szCs w:val="32"/>
        </w:rPr>
        <w:t>具体目标：</w:t>
      </w:r>
    </w:p>
    <w:p w:rsidR="000F7FAD" w:rsidRDefault="00BB4424">
      <w:pPr>
        <w:topLinePunct/>
        <w:autoSpaceDE w:val="0"/>
        <w:autoSpaceDN w:val="0"/>
        <w:snapToGrid w:val="0"/>
        <w:spacing w:line="600" w:lineRule="exact"/>
        <w:ind w:firstLineChars="200" w:firstLine="640"/>
        <w:rPr>
          <w:sz w:val="32"/>
          <w:szCs w:val="32"/>
        </w:rPr>
      </w:pPr>
      <w:r>
        <w:rPr>
          <w:sz w:val="32"/>
          <w:szCs w:val="32"/>
        </w:rPr>
        <w:t>——</w:t>
      </w:r>
      <w:r>
        <w:rPr>
          <w:rFonts w:ascii="楷体_GB2312" w:eastAsia="楷体_GB2312" w:hint="eastAsia"/>
          <w:sz w:val="32"/>
          <w:szCs w:val="32"/>
        </w:rPr>
        <w:t>实现更加充分更高质量就业，提升就业创业效能。</w:t>
      </w:r>
      <w:r>
        <w:rPr>
          <w:rFonts w:hint="eastAsia"/>
          <w:sz w:val="32"/>
          <w:szCs w:val="32"/>
        </w:rPr>
        <w:t>就</w:t>
      </w:r>
      <w:r>
        <w:rPr>
          <w:rFonts w:hint="eastAsia"/>
          <w:sz w:val="32"/>
          <w:szCs w:val="32"/>
        </w:rPr>
        <w:lastRenderedPageBreak/>
        <w:t>业优先政策全面强化，“就莞用”服务体系建立健全，职业技能提升行动深入实施，新业态从业人员服务保障体系不断完善，就业创业能力和就业质量稳步提升。到</w:t>
      </w:r>
      <w:r>
        <w:rPr>
          <w:rFonts w:hint="eastAsia"/>
          <w:sz w:val="32"/>
          <w:szCs w:val="32"/>
        </w:rPr>
        <w:t>2025</w:t>
      </w:r>
      <w:r>
        <w:rPr>
          <w:rFonts w:hint="eastAsia"/>
          <w:sz w:val="32"/>
          <w:szCs w:val="32"/>
        </w:rPr>
        <w:t>年，实现城镇新增就业</w:t>
      </w:r>
      <w:r>
        <w:rPr>
          <w:rFonts w:hint="eastAsia"/>
          <w:sz w:val="32"/>
          <w:szCs w:val="32"/>
        </w:rPr>
        <w:t>44</w:t>
      </w:r>
      <w:r>
        <w:rPr>
          <w:rFonts w:hint="eastAsia"/>
          <w:sz w:val="32"/>
          <w:szCs w:val="32"/>
        </w:rPr>
        <w:t>万人，城镇登记失业率控制在</w:t>
      </w:r>
      <w:r>
        <w:rPr>
          <w:rFonts w:hint="eastAsia"/>
          <w:sz w:val="32"/>
          <w:szCs w:val="32"/>
        </w:rPr>
        <w:t>3.5%</w:t>
      </w:r>
      <w:r>
        <w:rPr>
          <w:rFonts w:hint="eastAsia"/>
          <w:sz w:val="32"/>
          <w:szCs w:val="32"/>
        </w:rPr>
        <w:t>以内，应届高校</w:t>
      </w:r>
      <w:r>
        <w:rPr>
          <w:rFonts w:hint="eastAsia"/>
          <w:sz w:val="32"/>
          <w:szCs w:val="32"/>
        </w:rPr>
        <w:t>毕业生初次就业率</w:t>
      </w:r>
      <w:r>
        <w:rPr>
          <w:rFonts w:hint="eastAsia"/>
          <w:sz w:val="32"/>
          <w:szCs w:val="32"/>
        </w:rPr>
        <w:t>96%</w:t>
      </w:r>
      <w:r>
        <w:rPr>
          <w:rFonts w:hint="eastAsia"/>
          <w:sz w:val="32"/>
          <w:szCs w:val="32"/>
        </w:rPr>
        <w:t>以上，困难家庭毕业生实现</w:t>
      </w:r>
      <w:r>
        <w:rPr>
          <w:rFonts w:hint="eastAsia"/>
          <w:sz w:val="32"/>
          <w:szCs w:val="32"/>
        </w:rPr>
        <w:t>100%</w:t>
      </w:r>
      <w:r>
        <w:rPr>
          <w:rFonts w:hint="eastAsia"/>
          <w:sz w:val="32"/>
          <w:szCs w:val="32"/>
        </w:rPr>
        <w:t>就业。</w:t>
      </w:r>
    </w:p>
    <w:p w:rsidR="000F7FAD" w:rsidRDefault="00BB4424">
      <w:pPr>
        <w:topLinePunct/>
        <w:autoSpaceDE w:val="0"/>
        <w:autoSpaceDN w:val="0"/>
        <w:snapToGrid w:val="0"/>
        <w:spacing w:line="600" w:lineRule="exact"/>
        <w:ind w:firstLineChars="200" w:firstLine="640"/>
        <w:rPr>
          <w:sz w:val="32"/>
          <w:szCs w:val="32"/>
        </w:rPr>
      </w:pPr>
      <w:r>
        <w:rPr>
          <w:sz w:val="32"/>
          <w:szCs w:val="32"/>
        </w:rPr>
        <w:t>——</w:t>
      </w:r>
      <w:r>
        <w:rPr>
          <w:rFonts w:ascii="楷体_GB2312" w:eastAsia="楷体_GB2312"/>
          <w:sz w:val="32"/>
          <w:szCs w:val="32"/>
        </w:rPr>
        <w:t>加强企业用工服务保障，全面提升企业人才人力效能</w:t>
      </w:r>
      <w:r>
        <w:rPr>
          <w:rFonts w:ascii="楷体_GB2312" w:eastAsia="楷体_GB2312" w:hint="eastAsia"/>
          <w:sz w:val="32"/>
          <w:szCs w:val="32"/>
        </w:rPr>
        <w:t>。</w:t>
      </w:r>
      <w:r>
        <w:rPr>
          <w:rFonts w:hint="eastAsia"/>
          <w:sz w:val="32"/>
          <w:szCs w:val="32"/>
        </w:rPr>
        <w:t>加强企业人力资源管理人员培训，推进企业用工诊断、预警、服务、自律，探索建立品质用工效能标准和评价体系，引导企业加大人力资本投入、塑造技能生态、构建良好人力关系、提升人力效率，促进就业用工动态平衡。</w:t>
      </w:r>
      <w:bookmarkStart w:id="15" w:name="_Toc24769"/>
    </w:p>
    <w:p w:rsidR="000F7FAD" w:rsidRDefault="00BB4424">
      <w:pPr>
        <w:topLinePunct/>
        <w:autoSpaceDE w:val="0"/>
        <w:autoSpaceDN w:val="0"/>
        <w:snapToGrid w:val="0"/>
        <w:spacing w:line="600" w:lineRule="exact"/>
        <w:ind w:firstLineChars="200" w:firstLine="640"/>
        <w:rPr>
          <w:sz w:val="32"/>
          <w:szCs w:val="32"/>
        </w:rPr>
      </w:pPr>
      <w:r>
        <w:rPr>
          <w:sz w:val="32"/>
          <w:szCs w:val="32"/>
        </w:rPr>
        <w:t>——</w:t>
      </w:r>
      <w:r>
        <w:rPr>
          <w:rFonts w:ascii="楷体_GB2312" w:eastAsia="楷体_GB2312" w:hint="eastAsia"/>
          <w:sz w:val="32"/>
          <w:szCs w:val="32"/>
        </w:rPr>
        <w:t>促进社会保障事业高质量可持续发展，提升社会保障效能。</w:t>
      </w:r>
      <w:r>
        <w:rPr>
          <w:rFonts w:hint="eastAsia"/>
          <w:sz w:val="32"/>
          <w:szCs w:val="32"/>
        </w:rPr>
        <w:t>健全覆盖全民、统筹城乡、公平统一、可持续的多层次社会保障体系，完善政策、经办、系统、监督“四位一体”的基金管理风险防控体系，推进社保经办数字化转</w:t>
      </w:r>
      <w:r>
        <w:rPr>
          <w:rFonts w:hint="eastAsia"/>
          <w:sz w:val="32"/>
          <w:szCs w:val="32"/>
        </w:rPr>
        <w:t>型，加快把以社保卡为载体市民卡打造成居民服务“一卡通”新范例和数字政府建设新名片。到</w:t>
      </w:r>
      <w:r>
        <w:rPr>
          <w:rFonts w:hint="eastAsia"/>
          <w:sz w:val="32"/>
          <w:szCs w:val="32"/>
        </w:rPr>
        <w:t>2025</w:t>
      </w:r>
      <w:r>
        <w:rPr>
          <w:rFonts w:hint="eastAsia"/>
          <w:sz w:val="32"/>
          <w:szCs w:val="32"/>
        </w:rPr>
        <w:t>年，社保卡持卡人数达到</w:t>
      </w:r>
      <w:r>
        <w:rPr>
          <w:rFonts w:hint="eastAsia"/>
          <w:sz w:val="32"/>
          <w:szCs w:val="32"/>
        </w:rPr>
        <w:t>1026</w:t>
      </w:r>
      <w:r>
        <w:rPr>
          <w:rFonts w:hint="eastAsia"/>
          <w:sz w:val="32"/>
          <w:szCs w:val="32"/>
        </w:rPr>
        <w:t>万。</w:t>
      </w:r>
      <w:bookmarkEnd w:id="15"/>
    </w:p>
    <w:p w:rsidR="000F7FAD" w:rsidRDefault="00BB4424">
      <w:pPr>
        <w:topLinePunct/>
        <w:autoSpaceDE w:val="0"/>
        <w:autoSpaceDN w:val="0"/>
        <w:snapToGrid w:val="0"/>
        <w:spacing w:line="600" w:lineRule="exact"/>
        <w:ind w:firstLineChars="200" w:firstLine="640"/>
        <w:rPr>
          <w:sz w:val="32"/>
          <w:szCs w:val="32"/>
        </w:rPr>
      </w:pPr>
      <w:r>
        <w:rPr>
          <w:sz w:val="32"/>
          <w:szCs w:val="32"/>
        </w:rPr>
        <w:t>——</w:t>
      </w:r>
      <w:r>
        <w:rPr>
          <w:rFonts w:ascii="楷体_GB2312" w:eastAsia="楷体_GB2312"/>
          <w:sz w:val="32"/>
          <w:szCs w:val="32"/>
        </w:rPr>
        <w:t>打造大湾区人才集聚新高地</w:t>
      </w:r>
      <w:r>
        <w:rPr>
          <w:rFonts w:ascii="楷体_GB2312" w:eastAsia="楷体_GB2312" w:hint="eastAsia"/>
          <w:sz w:val="32"/>
          <w:szCs w:val="32"/>
        </w:rPr>
        <w:t>，提升城市人才效能。</w:t>
      </w:r>
      <w:r>
        <w:rPr>
          <w:rFonts w:hint="eastAsia"/>
          <w:sz w:val="32"/>
          <w:szCs w:val="32"/>
        </w:rPr>
        <w:t>实施新一轮“十百千万百万”人才工程，完善创新创业人才、本科学历人才、研发人才等配套政策，吹响“是人才、进莞来”的引才号角，搭建人才交流、招才引智平台，打造智慧人才服务平台，完善创新人才地图功能，打造利于人才创新创业创造</w:t>
      </w:r>
      <w:r>
        <w:rPr>
          <w:rFonts w:hint="eastAsia"/>
          <w:sz w:val="32"/>
          <w:szCs w:val="32"/>
        </w:rPr>
        <w:lastRenderedPageBreak/>
        <w:t>环境。到</w:t>
      </w:r>
      <w:r>
        <w:rPr>
          <w:rFonts w:hint="eastAsia"/>
          <w:sz w:val="32"/>
          <w:szCs w:val="32"/>
        </w:rPr>
        <w:t>2025</w:t>
      </w:r>
      <w:r>
        <w:rPr>
          <w:rFonts w:hint="eastAsia"/>
          <w:sz w:val="32"/>
          <w:szCs w:val="32"/>
        </w:rPr>
        <w:t>年，专业技术人才总量达</w:t>
      </w:r>
      <w:r>
        <w:rPr>
          <w:rFonts w:hint="eastAsia"/>
          <w:sz w:val="32"/>
          <w:szCs w:val="32"/>
        </w:rPr>
        <w:t>40</w:t>
      </w:r>
      <w:r>
        <w:rPr>
          <w:rFonts w:hint="eastAsia"/>
          <w:sz w:val="32"/>
          <w:szCs w:val="32"/>
        </w:rPr>
        <w:t>万人。</w:t>
      </w:r>
    </w:p>
    <w:p w:rsidR="000F7FAD" w:rsidRDefault="00BB4424">
      <w:pPr>
        <w:topLinePunct/>
        <w:autoSpaceDE w:val="0"/>
        <w:autoSpaceDN w:val="0"/>
        <w:snapToGrid w:val="0"/>
        <w:spacing w:line="600" w:lineRule="exact"/>
        <w:ind w:firstLineChars="200" w:firstLine="640"/>
      </w:pPr>
      <w:r>
        <w:rPr>
          <w:sz w:val="32"/>
          <w:szCs w:val="32"/>
        </w:rPr>
        <w:t>——</w:t>
      </w:r>
      <w:r>
        <w:rPr>
          <w:rFonts w:ascii="楷体_GB2312" w:eastAsia="楷体_GB2312" w:hint="eastAsia"/>
          <w:sz w:val="32"/>
          <w:szCs w:val="32"/>
        </w:rPr>
        <w:t>深化“技能人才之都”建设，提升企业技能效能。</w:t>
      </w:r>
      <w:r>
        <w:rPr>
          <w:rFonts w:hint="eastAsia"/>
          <w:sz w:val="32"/>
          <w:szCs w:val="32"/>
        </w:rPr>
        <w:t>高质量推进三项工程，促进技工教育高质量发展，完善职业技能等级认定机制，探索建设技能公园，办好东莞技能节，长效开展技能社会教育，将东莞打造成为全国技能人才的向往之地和成长之地。到</w:t>
      </w:r>
      <w:r>
        <w:rPr>
          <w:rFonts w:hint="eastAsia"/>
          <w:sz w:val="32"/>
          <w:szCs w:val="32"/>
        </w:rPr>
        <w:t>2025</w:t>
      </w:r>
      <w:r>
        <w:rPr>
          <w:rFonts w:hint="eastAsia"/>
          <w:sz w:val="32"/>
          <w:szCs w:val="32"/>
        </w:rPr>
        <w:t>年，技能劳动者占就业人员比例达到</w:t>
      </w:r>
      <w:r>
        <w:rPr>
          <w:rFonts w:hint="eastAsia"/>
          <w:sz w:val="32"/>
          <w:szCs w:val="32"/>
        </w:rPr>
        <w:t>30%</w:t>
      </w:r>
      <w:r>
        <w:rPr>
          <w:rFonts w:hint="eastAsia"/>
          <w:sz w:val="32"/>
          <w:szCs w:val="32"/>
        </w:rPr>
        <w:t>。</w:t>
      </w:r>
    </w:p>
    <w:p w:rsidR="000F7FAD" w:rsidRDefault="00BB4424">
      <w:pPr>
        <w:topLinePunct/>
        <w:autoSpaceDE w:val="0"/>
        <w:autoSpaceDN w:val="0"/>
        <w:snapToGrid w:val="0"/>
        <w:spacing w:line="600" w:lineRule="exact"/>
        <w:ind w:firstLineChars="200" w:firstLine="640"/>
        <w:rPr>
          <w:sz w:val="32"/>
          <w:szCs w:val="32"/>
        </w:rPr>
      </w:pPr>
      <w:r>
        <w:rPr>
          <w:sz w:val="32"/>
          <w:szCs w:val="32"/>
        </w:rPr>
        <w:t>——</w:t>
      </w:r>
      <w:r>
        <w:rPr>
          <w:rFonts w:ascii="楷体_GB2312" w:eastAsia="楷体_GB2312" w:hint="eastAsia"/>
          <w:sz w:val="32"/>
          <w:szCs w:val="32"/>
        </w:rPr>
        <w:t>推进人力资源服务业高质量发展，提升人力赋能效能。</w:t>
      </w:r>
      <w:r>
        <w:rPr>
          <w:rFonts w:hint="eastAsia"/>
          <w:sz w:val="32"/>
          <w:szCs w:val="32"/>
        </w:rPr>
        <w:t>健全政策体系，建设人力资源服务产业园先行区，促进人力资源服务业态和品质提升，做优招聘、培训，做强咨询、测评、软件和系统服务，加强行业自律和规范。到</w:t>
      </w:r>
      <w:r>
        <w:rPr>
          <w:rFonts w:hint="eastAsia"/>
          <w:sz w:val="32"/>
          <w:szCs w:val="32"/>
        </w:rPr>
        <w:t>2025</w:t>
      </w:r>
      <w:r>
        <w:rPr>
          <w:rFonts w:hint="eastAsia"/>
          <w:sz w:val="32"/>
          <w:szCs w:val="32"/>
        </w:rPr>
        <w:t>年，创建</w:t>
      </w:r>
      <w:r>
        <w:rPr>
          <w:rFonts w:hint="eastAsia"/>
          <w:sz w:val="32"/>
          <w:szCs w:val="32"/>
        </w:rPr>
        <w:t>3</w:t>
      </w:r>
      <w:r>
        <w:rPr>
          <w:rFonts w:hint="eastAsia"/>
          <w:sz w:val="32"/>
          <w:szCs w:val="32"/>
        </w:rPr>
        <w:t>个以上市级产业园、</w:t>
      </w:r>
      <w:r>
        <w:rPr>
          <w:rFonts w:hint="eastAsia"/>
          <w:sz w:val="32"/>
          <w:szCs w:val="32"/>
        </w:rPr>
        <w:t>2</w:t>
      </w:r>
      <w:r>
        <w:rPr>
          <w:rFonts w:hint="eastAsia"/>
          <w:sz w:val="32"/>
          <w:szCs w:val="32"/>
        </w:rPr>
        <w:t>个以上</w:t>
      </w:r>
      <w:r>
        <w:rPr>
          <w:rFonts w:hint="eastAsia"/>
          <w:sz w:val="32"/>
          <w:szCs w:val="32"/>
        </w:rPr>
        <w:t>省级产业园和</w:t>
      </w:r>
      <w:r>
        <w:rPr>
          <w:rFonts w:hint="eastAsia"/>
          <w:sz w:val="32"/>
          <w:szCs w:val="32"/>
        </w:rPr>
        <w:t>1</w:t>
      </w:r>
      <w:r>
        <w:rPr>
          <w:rFonts w:hint="eastAsia"/>
          <w:sz w:val="32"/>
          <w:szCs w:val="32"/>
        </w:rPr>
        <w:t>个国家级产业园，基本建成产业化、专业化、信息化、国际化的人力资源服务体系。</w:t>
      </w:r>
    </w:p>
    <w:p w:rsidR="000F7FAD" w:rsidRDefault="00BB4424">
      <w:pPr>
        <w:topLinePunct/>
        <w:autoSpaceDE w:val="0"/>
        <w:autoSpaceDN w:val="0"/>
        <w:snapToGrid w:val="0"/>
        <w:spacing w:line="600" w:lineRule="exact"/>
        <w:ind w:firstLineChars="200" w:firstLine="640"/>
        <w:rPr>
          <w:sz w:val="32"/>
          <w:szCs w:val="32"/>
        </w:rPr>
      </w:pPr>
      <w:r>
        <w:rPr>
          <w:sz w:val="32"/>
          <w:szCs w:val="32"/>
        </w:rPr>
        <w:t>——</w:t>
      </w:r>
      <w:r>
        <w:rPr>
          <w:rFonts w:ascii="楷体_GB2312" w:eastAsia="楷体_GB2312" w:hint="eastAsia"/>
          <w:sz w:val="32"/>
          <w:szCs w:val="32"/>
        </w:rPr>
        <w:t>构建新型和谐劳动关系，提升劳动保障效能。</w:t>
      </w:r>
      <w:r>
        <w:rPr>
          <w:rFonts w:hint="eastAsia"/>
          <w:sz w:val="32"/>
          <w:szCs w:val="32"/>
        </w:rPr>
        <w:t>劳动关系风险预警、监察治理和多元化解效能不断提升，欠薪综合治理体系更加有效，</w:t>
      </w:r>
      <w:r>
        <w:rPr>
          <w:rFonts w:hint="eastAsia"/>
          <w:sz w:val="32"/>
          <w:szCs w:val="32"/>
        </w:rPr>
        <w:t>推动</w:t>
      </w:r>
      <w:r>
        <w:rPr>
          <w:rFonts w:hint="eastAsia"/>
          <w:sz w:val="32"/>
          <w:szCs w:val="32"/>
        </w:rPr>
        <w:t>劳务派遣和人力资源市场</w:t>
      </w:r>
      <w:r>
        <w:rPr>
          <w:rFonts w:hint="eastAsia"/>
          <w:sz w:val="32"/>
          <w:szCs w:val="32"/>
        </w:rPr>
        <w:t>规范发展</w:t>
      </w:r>
      <w:r>
        <w:rPr>
          <w:rFonts w:hint="eastAsia"/>
          <w:sz w:val="32"/>
          <w:szCs w:val="32"/>
        </w:rPr>
        <w:t>。深化调裁审一体化模式，推动大湾区劳动争议调解仲裁区域合作。每年劳动人事争议调解成功率、仲裁结案率、劳动保障监察举报投诉结案率分别达到</w:t>
      </w:r>
      <w:r>
        <w:rPr>
          <w:rFonts w:hint="eastAsia"/>
          <w:sz w:val="32"/>
          <w:szCs w:val="32"/>
        </w:rPr>
        <w:t>78%</w:t>
      </w:r>
      <w:r>
        <w:rPr>
          <w:rFonts w:hint="eastAsia"/>
          <w:sz w:val="32"/>
          <w:szCs w:val="32"/>
        </w:rPr>
        <w:t>以上、</w:t>
      </w:r>
      <w:r>
        <w:rPr>
          <w:rFonts w:hint="eastAsia"/>
          <w:sz w:val="32"/>
          <w:szCs w:val="32"/>
        </w:rPr>
        <w:t>96%</w:t>
      </w:r>
      <w:r>
        <w:rPr>
          <w:rFonts w:hint="eastAsia"/>
          <w:sz w:val="32"/>
          <w:szCs w:val="32"/>
        </w:rPr>
        <w:t>以上、</w:t>
      </w:r>
      <w:r>
        <w:rPr>
          <w:rFonts w:hint="eastAsia"/>
          <w:sz w:val="32"/>
          <w:szCs w:val="32"/>
        </w:rPr>
        <w:t>100%</w:t>
      </w:r>
      <w:r>
        <w:rPr>
          <w:rFonts w:hint="eastAsia"/>
          <w:sz w:val="32"/>
          <w:szCs w:val="32"/>
        </w:rPr>
        <w:t>。</w:t>
      </w:r>
    </w:p>
    <w:p w:rsidR="000F7FAD" w:rsidRDefault="00BB4424">
      <w:pPr>
        <w:topLinePunct/>
        <w:autoSpaceDE w:val="0"/>
        <w:autoSpaceDN w:val="0"/>
        <w:snapToGrid w:val="0"/>
        <w:spacing w:line="600" w:lineRule="exact"/>
        <w:ind w:firstLineChars="200" w:firstLine="640"/>
        <w:rPr>
          <w:sz w:val="32"/>
          <w:szCs w:val="32"/>
        </w:rPr>
      </w:pPr>
      <w:r>
        <w:rPr>
          <w:sz w:val="32"/>
          <w:szCs w:val="32"/>
        </w:rPr>
        <w:t>——</w:t>
      </w:r>
      <w:r>
        <w:rPr>
          <w:rFonts w:ascii="楷体_GB2312" w:eastAsia="楷体_GB2312" w:hint="eastAsia"/>
          <w:sz w:val="32"/>
          <w:szCs w:val="32"/>
        </w:rPr>
        <w:t>推动智慧人社建设，提升政务服务效能。</w:t>
      </w:r>
      <w:r>
        <w:rPr>
          <w:rFonts w:hint="eastAsia"/>
          <w:sz w:val="32"/>
          <w:szCs w:val="32"/>
        </w:rPr>
        <w:t>巩固拓展党史学</w:t>
      </w:r>
      <w:r>
        <w:rPr>
          <w:sz w:val="32"/>
          <w:szCs w:val="32"/>
        </w:rPr>
        <w:t>习教育成果，以党建业务双建双效，</w:t>
      </w:r>
      <w:r>
        <w:rPr>
          <w:sz w:val="32"/>
          <w:szCs w:val="32"/>
        </w:rPr>
        <w:t>带动作风转变和服务升级，促进党建效能和政务效能双提升。用好信息化技术，打</w:t>
      </w:r>
      <w:r>
        <w:rPr>
          <w:sz w:val="32"/>
          <w:szCs w:val="32"/>
        </w:rPr>
        <w:lastRenderedPageBreak/>
        <w:t>造</w:t>
      </w:r>
      <w:r>
        <w:rPr>
          <w:rFonts w:hint="eastAsia"/>
          <w:sz w:val="32"/>
          <w:szCs w:val="32"/>
        </w:rPr>
        <w:t>智慧</w:t>
      </w:r>
      <w:r>
        <w:rPr>
          <w:sz w:val="32"/>
          <w:szCs w:val="32"/>
        </w:rPr>
        <w:t>人社，线上、线下全方位构建高效便民人社服务网络。</w:t>
      </w:r>
    </w:p>
    <w:tbl>
      <w:tblPr>
        <w:tblW w:w="89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6"/>
        <w:gridCol w:w="3487"/>
        <w:gridCol w:w="1382"/>
        <w:gridCol w:w="1245"/>
        <w:gridCol w:w="1170"/>
        <w:gridCol w:w="1168"/>
      </w:tblGrid>
      <w:tr w:rsidR="000F7FAD">
        <w:trPr>
          <w:trHeight w:val="510"/>
          <w:jc w:val="center"/>
        </w:trPr>
        <w:tc>
          <w:tcPr>
            <w:tcW w:w="8958" w:type="dxa"/>
            <w:gridSpan w:val="6"/>
            <w:vAlign w:val="center"/>
          </w:tcPr>
          <w:p w:rsidR="000F7FAD" w:rsidRDefault="00BB4424">
            <w:pPr>
              <w:adjustRightInd w:val="0"/>
              <w:snapToGrid w:val="0"/>
              <w:spacing w:line="300" w:lineRule="exact"/>
              <w:jc w:val="center"/>
              <w:rPr>
                <w:rFonts w:eastAsia="黑体"/>
                <w:szCs w:val="30"/>
              </w:rPr>
            </w:pPr>
            <w:r>
              <w:rPr>
                <w:rFonts w:eastAsia="黑体"/>
                <w:szCs w:val="30"/>
              </w:rPr>
              <w:t>专栏</w:t>
            </w:r>
            <w:r>
              <w:rPr>
                <w:rFonts w:eastAsia="黑体"/>
                <w:szCs w:val="30"/>
              </w:rPr>
              <w:t xml:space="preserve">2  </w:t>
            </w:r>
            <w:r>
              <w:rPr>
                <w:rFonts w:eastAsia="黑体" w:hint="eastAsia"/>
                <w:szCs w:val="30"/>
              </w:rPr>
              <w:t>“</w:t>
            </w:r>
            <w:r>
              <w:rPr>
                <w:rFonts w:eastAsia="黑体" w:hAnsi="黑体"/>
                <w:szCs w:val="30"/>
              </w:rPr>
              <w:t>十四五</w:t>
            </w:r>
            <w:r>
              <w:rPr>
                <w:rFonts w:eastAsia="黑体" w:hint="eastAsia"/>
                <w:szCs w:val="30"/>
              </w:rPr>
              <w:t>”</w:t>
            </w:r>
            <w:r>
              <w:rPr>
                <w:rFonts w:eastAsia="黑体" w:hAnsi="黑体"/>
                <w:szCs w:val="30"/>
              </w:rPr>
              <w:t>时</w:t>
            </w:r>
            <w:r>
              <w:rPr>
                <w:rFonts w:eastAsia="黑体"/>
                <w:szCs w:val="30"/>
              </w:rPr>
              <w:t>期主要指标</w:t>
            </w:r>
          </w:p>
        </w:tc>
      </w:tr>
      <w:tr w:rsidR="000F7FAD">
        <w:trPr>
          <w:trHeight w:val="510"/>
          <w:jc w:val="center"/>
        </w:trPr>
        <w:tc>
          <w:tcPr>
            <w:tcW w:w="506" w:type="dxa"/>
            <w:vAlign w:val="center"/>
          </w:tcPr>
          <w:p w:rsidR="000F7FAD" w:rsidRDefault="00BB4424">
            <w:pPr>
              <w:adjustRightInd w:val="0"/>
              <w:snapToGrid w:val="0"/>
              <w:spacing w:line="300" w:lineRule="exact"/>
              <w:jc w:val="center"/>
              <w:rPr>
                <w:rFonts w:eastAsia="黑体"/>
                <w:sz w:val="24"/>
              </w:rPr>
            </w:pPr>
            <w:r>
              <w:rPr>
                <w:rFonts w:eastAsia="黑体"/>
                <w:sz w:val="24"/>
              </w:rPr>
              <w:t>序号</w:t>
            </w:r>
          </w:p>
        </w:tc>
        <w:tc>
          <w:tcPr>
            <w:tcW w:w="3487" w:type="dxa"/>
            <w:vAlign w:val="center"/>
          </w:tcPr>
          <w:p w:rsidR="000F7FAD" w:rsidRDefault="00BB4424">
            <w:pPr>
              <w:adjustRightInd w:val="0"/>
              <w:snapToGrid w:val="0"/>
              <w:spacing w:line="300" w:lineRule="exact"/>
              <w:jc w:val="center"/>
              <w:rPr>
                <w:rFonts w:eastAsia="黑体"/>
                <w:sz w:val="24"/>
              </w:rPr>
            </w:pPr>
            <w:r>
              <w:rPr>
                <w:rFonts w:eastAsia="黑体"/>
                <w:sz w:val="24"/>
              </w:rPr>
              <w:t>指标</w:t>
            </w:r>
          </w:p>
        </w:tc>
        <w:tc>
          <w:tcPr>
            <w:tcW w:w="1382" w:type="dxa"/>
            <w:vAlign w:val="center"/>
          </w:tcPr>
          <w:p w:rsidR="000F7FAD" w:rsidRDefault="00BB4424">
            <w:pPr>
              <w:adjustRightInd w:val="0"/>
              <w:snapToGrid w:val="0"/>
              <w:spacing w:line="300" w:lineRule="exact"/>
              <w:jc w:val="center"/>
              <w:rPr>
                <w:rFonts w:eastAsia="黑体"/>
                <w:sz w:val="24"/>
              </w:rPr>
            </w:pPr>
            <w:r>
              <w:rPr>
                <w:rFonts w:eastAsia="黑体"/>
                <w:sz w:val="24"/>
              </w:rPr>
              <w:t>单位</w:t>
            </w:r>
          </w:p>
        </w:tc>
        <w:tc>
          <w:tcPr>
            <w:tcW w:w="1245" w:type="dxa"/>
            <w:vAlign w:val="center"/>
          </w:tcPr>
          <w:p w:rsidR="000F7FAD" w:rsidRDefault="00BB4424">
            <w:pPr>
              <w:adjustRightInd w:val="0"/>
              <w:snapToGrid w:val="0"/>
              <w:spacing w:line="300" w:lineRule="exact"/>
              <w:jc w:val="center"/>
              <w:rPr>
                <w:rFonts w:eastAsia="黑体"/>
                <w:sz w:val="24"/>
              </w:rPr>
            </w:pPr>
            <w:r>
              <w:rPr>
                <w:rFonts w:eastAsia="黑体"/>
                <w:sz w:val="24"/>
              </w:rPr>
              <w:t>2020</w:t>
            </w:r>
            <w:r>
              <w:rPr>
                <w:rFonts w:eastAsia="黑体"/>
                <w:sz w:val="24"/>
              </w:rPr>
              <w:t>年</w:t>
            </w:r>
          </w:p>
          <w:p w:rsidR="000F7FAD" w:rsidRDefault="00BB4424">
            <w:pPr>
              <w:adjustRightInd w:val="0"/>
              <w:snapToGrid w:val="0"/>
              <w:spacing w:line="300" w:lineRule="exact"/>
              <w:jc w:val="center"/>
              <w:rPr>
                <w:rFonts w:eastAsia="黑体"/>
                <w:sz w:val="24"/>
              </w:rPr>
            </w:pPr>
            <w:r>
              <w:rPr>
                <w:rFonts w:eastAsia="黑体"/>
                <w:sz w:val="24"/>
              </w:rPr>
              <w:t>基数</w:t>
            </w:r>
          </w:p>
        </w:tc>
        <w:tc>
          <w:tcPr>
            <w:tcW w:w="1170" w:type="dxa"/>
            <w:vAlign w:val="center"/>
          </w:tcPr>
          <w:p w:rsidR="000F7FAD" w:rsidRDefault="00BB4424">
            <w:pPr>
              <w:adjustRightInd w:val="0"/>
              <w:snapToGrid w:val="0"/>
              <w:spacing w:line="300" w:lineRule="exact"/>
              <w:jc w:val="center"/>
              <w:rPr>
                <w:rFonts w:eastAsia="黑体"/>
                <w:sz w:val="24"/>
              </w:rPr>
            </w:pPr>
            <w:r>
              <w:rPr>
                <w:rFonts w:eastAsia="黑体"/>
                <w:sz w:val="24"/>
              </w:rPr>
              <w:t>2025</w:t>
            </w:r>
            <w:r>
              <w:rPr>
                <w:rFonts w:eastAsia="黑体"/>
                <w:sz w:val="24"/>
              </w:rPr>
              <w:t>年目标</w:t>
            </w:r>
          </w:p>
        </w:tc>
        <w:tc>
          <w:tcPr>
            <w:tcW w:w="1168" w:type="dxa"/>
            <w:vAlign w:val="center"/>
          </w:tcPr>
          <w:p w:rsidR="000F7FAD" w:rsidRDefault="00BB4424">
            <w:pPr>
              <w:adjustRightInd w:val="0"/>
              <w:snapToGrid w:val="0"/>
              <w:spacing w:line="300" w:lineRule="exact"/>
              <w:jc w:val="center"/>
              <w:rPr>
                <w:rFonts w:eastAsia="黑体"/>
                <w:sz w:val="24"/>
              </w:rPr>
            </w:pPr>
            <w:r>
              <w:rPr>
                <w:rFonts w:eastAsia="黑体"/>
                <w:sz w:val="24"/>
              </w:rPr>
              <w:t>属性</w:t>
            </w:r>
          </w:p>
        </w:tc>
      </w:tr>
      <w:tr w:rsidR="000F7FAD">
        <w:trPr>
          <w:trHeight w:val="510"/>
          <w:jc w:val="center"/>
        </w:trPr>
        <w:tc>
          <w:tcPr>
            <w:tcW w:w="8958" w:type="dxa"/>
            <w:gridSpan w:val="6"/>
            <w:vAlign w:val="center"/>
          </w:tcPr>
          <w:p w:rsidR="000F7FAD" w:rsidRDefault="00BB4424">
            <w:pPr>
              <w:adjustRightInd w:val="0"/>
              <w:snapToGrid w:val="0"/>
              <w:spacing w:line="300" w:lineRule="exact"/>
              <w:jc w:val="left"/>
              <w:rPr>
                <w:rFonts w:eastAsia="黑体"/>
                <w:sz w:val="21"/>
                <w:szCs w:val="21"/>
              </w:rPr>
            </w:pPr>
            <w:r>
              <w:rPr>
                <w:rFonts w:eastAsia="黑体"/>
                <w:sz w:val="21"/>
                <w:szCs w:val="21"/>
              </w:rPr>
              <w:t>一、就业</w:t>
            </w:r>
          </w:p>
        </w:tc>
      </w:tr>
      <w:tr w:rsidR="000F7FAD">
        <w:trPr>
          <w:trHeight w:val="510"/>
          <w:jc w:val="center"/>
        </w:trPr>
        <w:tc>
          <w:tcPr>
            <w:tcW w:w="506" w:type="dxa"/>
            <w:vAlign w:val="center"/>
          </w:tcPr>
          <w:p w:rsidR="000F7FAD" w:rsidRDefault="00BB4424">
            <w:pPr>
              <w:adjustRightInd w:val="0"/>
              <w:snapToGrid w:val="0"/>
              <w:spacing w:line="300" w:lineRule="exact"/>
              <w:jc w:val="center"/>
              <w:rPr>
                <w:sz w:val="21"/>
                <w:szCs w:val="21"/>
              </w:rPr>
            </w:pPr>
            <w:r>
              <w:rPr>
                <w:sz w:val="21"/>
                <w:szCs w:val="21"/>
              </w:rPr>
              <w:t>1</w:t>
            </w:r>
          </w:p>
        </w:tc>
        <w:tc>
          <w:tcPr>
            <w:tcW w:w="3487" w:type="dxa"/>
            <w:vAlign w:val="center"/>
          </w:tcPr>
          <w:p w:rsidR="000F7FAD" w:rsidRDefault="00BB4424">
            <w:pPr>
              <w:adjustRightInd w:val="0"/>
              <w:snapToGrid w:val="0"/>
              <w:spacing w:line="300" w:lineRule="exact"/>
              <w:jc w:val="left"/>
              <w:rPr>
                <w:sz w:val="21"/>
                <w:szCs w:val="21"/>
              </w:rPr>
            </w:pPr>
            <w:r>
              <w:rPr>
                <w:sz w:val="21"/>
                <w:szCs w:val="21"/>
              </w:rPr>
              <w:t>城镇新增就业人数</w:t>
            </w:r>
          </w:p>
        </w:tc>
        <w:tc>
          <w:tcPr>
            <w:tcW w:w="1382" w:type="dxa"/>
            <w:vAlign w:val="center"/>
          </w:tcPr>
          <w:p w:rsidR="000F7FAD" w:rsidRDefault="00BB4424">
            <w:pPr>
              <w:adjustRightInd w:val="0"/>
              <w:snapToGrid w:val="0"/>
              <w:spacing w:line="300" w:lineRule="exact"/>
              <w:jc w:val="center"/>
              <w:rPr>
                <w:sz w:val="21"/>
                <w:szCs w:val="21"/>
              </w:rPr>
            </w:pPr>
            <w:r>
              <w:rPr>
                <w:sz w:val="21"/>
                <w:szCs w:val="21"/>
              </w:rPr>
              <w:t>万人</w:t>
            </w:r>
          </w:p>
        </w:tc>
        <w:tc>
          <w:tcPr>
            <w:tcW w:w="1245" w:type="dxa"/>
            <w:vAlign w:val="center"/>
          </w:tcPr>
          <w:p w:rsidR="000F7FAD" w:rsidRDefault="00BB4424">
            <w:pPr>
              <w:adjustRightInd w:val="0"/>
              <w:snapToGrid w:val="0"/>
              <w:spacing w:line="300" w:lineRule="exact"/>
              <w:jc w:val="center"/>
              <w:rPr>
                <w:sz w:val="21"/>
                <w:szCs w:val="21"/>
              </w:rPr>
            </w:pPr>
            <w:r>
              <w:rPr>
                <w:sz w:val="21"/>
                <w:szCs w:val="21"/>
              </w:rPr>
              <w:t>[45]</w:t>
            </w:r>
          </w:p>
        </w:tc>
        <w:tc>
          <w:tcPr>
            <w:tcW w:w="1170" w:type="dxa"/>
            <w:vAlign w:val="center"/>
          </w:tcPr>
          <w:p w:rsidR="000F7FAD" w:rsidRDefault="00BB4424">
            <w:pPr>
              <w:adjustRightInd w:val="0"/>
              <w:snapToGrid w:val="0"/>
              <w:spacing w:line="300" w:lineRule="exact"/>
              <w:jc w:val="center"/>
              <w:rPr>
                <w:sz w:val="21"/>
                <w:szCs w:val="21"/>
              </w:rPr>
            </w:pPr>
            <w:r>
              <w:rPr>
                <w:sz w:val="21"/>
                <w:szCs w:val="21"/>
              </w:rPr>
              <w:t>[</w:t>
            </w:r>
            <w:r>
              <w:rPr>
                <w:rFonts w:hint="eastAsia"/>
                <w:sz w:val="21"/>
                <w:szCs w:val="21"/>
              </w:rPr>
              <w:t>44</w:t>
            </w:r>
            <w:r>
              <w:rPr>
                <w:sz w:val="21"/>
                <w:szCs w:val="21"/>
              </w:rPr>
              <w:t>]</w:t>
            </w:r>
          </w:p>
        </w:tc>
        <w:tc>
          <w:tcPr>
            <w:tcW w:w="1168" w:type="dxa"/>
            <w:vAlign w:val="center"/>
          </w:tcPr>
          <w:p w:rsidR="000F7FAD" w:rsidRDefault="00BB4424">
            <w:pPr>
              <w:adjustRightInd w:val="0"/>
              <w:snapToGrid w:val="0"/>
              <w:spacing w:line="300" w:lineRule="exact"/>
              <w:jc w:val="center"/>
              <w:rPr>
                <w:sz w:val="21"/>
                <w:szCs w:val="21"/>
              </w:rPr>
            </w:pPr>
            <w:r>
              <w:rPr>
                <w:sz w:val="21"/>
                <w:szCs w:val="21"/>
              </w:rPr>
              <w:t>预期性</w:t>
            </w:r>
          </w:p>
        </w:tc>
      </w:tr>
      <w:tr w:rsidR="000F7FAD">
        <w:trPr>
          <w:trHeight w:val="510"/>
          <w:jc w:val="center"/>
        </w:trPr>
        <w:tc>
          <w:tcPr>
            <w:tcW w:w="506" w:type="dxa"/>
            <w:vAlign w:val="center"/>
          </w:tcPr>
          <w:p w:rsidR="000F7FAD" w:rsidRDefault="00BB4424">
            <w:pPr>
              <w:adjustRightInd w:val="0"/>
              <w:snapToGrid w:val="0"/>
              <w:spacing w:line="300" w:lineRule="exact"/>
              <w:jc w:val="center"/>
              <w:rPr>
                <w:sz w:val="21"/>
                <w:szCs w:val="21"/>
              </w:rPr>
            </w:pPr>
            <w:r>
              <w:rPr>
                <w:sz w:val="21"/>
                <w:szCs w:val="21"/>
              </w:rPr>
              <w:t>2</w:t>
            </w:r>
          </w:p>
        </w:tc>
        <w:tc>
          <w:tcPr>
            <w:tcW w:w="3487" w:type="dxa"/>
            <w:vAlign w:val="center"/>
          </w:tcPr>
          <w:p w:rsidR="000F7FAD" w:rsidRDefault="00BB4424">
            <w:pPr>
              <w:adjustRightInd w:val="0"/>
              <w:snapToGrid w:val="0"/>
              <w:spacing w:line="300" w:lineRule="exact"/>
              <w:jc w:val="left"/>
              <w:rPr>
                <w:sz w:val="21"/>
                <w:szCs w:val="21"/>
              </w:rPr>
            </w:pPr>
            <w:r>
              <w:rPr>
                <w:sz w:val="21"/>
                <w:szCs w:val="21"/>
              </w:rPr>
              <w:t>城镇登记失业率</w:t>
            </w:r>
          </w:p>
        </w:tc>
        <w:tc>
          <w:tcPr>
            <w:tcW w:w="1382" w:type="dxa"/>
            <w:vAlign w:val="center"/>
          </w:tcPr>
          <w:p w:rsidR="000F7FAD" w:rsidRDefault="00BB4424">
            <w:pPr>
              <w:adjustRightInd w:val="0"/>
              <w:snapToGrid w:val="0"/>
              <w:spacing w:line="300" w:lineRule="exact"/>
              <w:jc w:val="center"/>
              <w:rPr>
                <w:sz w:val="21"/>
                <w:szCs w:val="21"/>
              </w:rPr>
            </w:pPr>
            <w:r>
              <w:rPr>
                <w:sz w:val="21"/>
                <w:szCs w:val="21"/>
              </w:rPr>
              <w:t>%</w:t>
            </w:r>
          </w:p>
        </w:tc>
        <w:tc>
          <w:tcPr>
            <w:tcW w:w="1245" w:type="dxa"/>
            <w:vAlign w:val="center"/>
          </w:tcPr>
          <w:p w:rsidR="000F7FAD" w:rsidRDefault="00BB4424">
            <w:pPr>
              <w:adjustRightInd w:val="0"/>
              <w:snapToGrid w:val="0"/>
              <w:spacing w:line="300" w:lineRule="exact"/>
              <w:jc w:val="center"/>
              <w:rPr>
                <w:sz w:val="21"/>
                <w:szCs w:val="21"/>
              </w:rPr>
            </w:pPr>
            <w:r>
              <w:rPr>
                <w:sz w:val="21"/>
                <w:szCs w:val="21"/>
              </w:rPr>
              <w:t>2.18</w:t>
            </w:r>
          </w:p>
        </w:tc>
        <w:tc>
          <w:tcPr>
            <w:tcW w:w="1170" w:type="dxa"/>
            <w:vAlign w:val="center"/>
          </w:tcPr>
          <w:p w:rsidR="000F7FAD" w:rsidRDefault="00BB4424">
            <w:pPr>
              <w:adjustRightInd w:val="0"/>
              <w:snapToGrid w:val="0"/>
              <w:spacing w:line="300" w:lineRule="exact"/>
              <w:jc w:val="center"/>
              <w:rPr>
                <w:sz w:val="21"/>
                <w:szCs w:val="21"/>
              </w:rPr>
            </w:pPr>
            <w:r>
              <w:rPr>
                <w:sz w:val="21"/>
                <w:szCs w:val="21"/>
              </w:rPr>
              <w:t>&lt;3.5</w:t>
            </w:r>
          </w:p>
        </w:tc>
        <w:tc>
          <w:tcPr>
            <w:tcW w:w="1168" w:type="dxa"/>
            <w:vAlign w:val="center"/>
          </w:tcPr>
          <w:p w:rsidR="000F7FAD" w:rsidRDefault="00BB4424">
            <w:pPr>
              <w:adjustRightInd w:val="0"/>
              <w:snapToGrid w:val="0"/>
              <w:spacing w:line="300" w:lineRule="exact"/>
              <w:jc w:val="center"/>
              <w:rPr>
                <w:sz w:val="21"/>
                <w:szCs w:val="21"/>
              </w:rPr>
            </w:pPr>
            <w:r>
              <w:rPr>
                <w:sz w:val="21"/>
                <w:szCs w:val="21"/>
              </w:rPr>
              <w:t>预期性</w:t>
            </w:r>
          </w:p>
        </w:tc>
      </w:tr>
      <w:tr w:rsidR="000F7FAD">
        <w:trPr>
          <w:trHeight w:val="510"/>
          <w:jc w:val="center"/>
        </w:trPr>
        <w:tc>
          <w:tcPr>
            <w:tcW w:w="8958" w:type="dxa"/>
            <w:gridSpan w:val="6"/>
            <w:vAlign w:val="center"/>
          </w:tcPr>
          <w:p w:rsidR="000F7FAD" w:rsidRDefault="00BB4424">
            <w:pPr>
              <w:adjustRightInd w:val="0"/>
              <w:snapToGrid w:val="0"/>
              <w:spacing w:line="300" w:lineRule="exact"/>
              <w:jc w:val="left"/>
              <w:rPr>
                <w:rFonts w:eastAsia="黑体"/>
                <w:sz w:val="21"/>
                <w:szCs w:val="21"/>
              </w:rPr>
            </w:pPr>
            <w:r>
              <w:rPr>
                <w:rFonts w:eastAsia="黑体"/>
                <w:sz w:val="21"/>
                <w:szCs w:val="21"/>
              </w:rPr>
              <w:t>二、社会保险</w:t>
            </w:r>
          </w:p>
        </w:tc>
      </w:tr>
      <w:tr w:rsidR="000F7FAD">
        <w:trPr>
          <w:trHeight w:val="510"/>
          <w:jc w:val="center"/>
        </w:trPr>
        <w:tc>
          <w:tcPr>
            <w:tcW w:w="506" w:type="dxa"/>
            <w:vAlign w:val="center"/>
          </w:tcPr>
          <w:p w:rsidR="000F7FAD" w:rsidRDefault="00BB4424">
            <w:pPr>
              <w:adjustRightInd w:val="0"/>
              <w:snapToGrid w:val="0"/>
              <w:spacing w:line="300" w:lineRule="exact"/>
              <w:jc w:val="center"/>
              <w:rPr>
                <w:sz w:val="21"/>
                <w:szCs w:val="21"/>
              </w:rPr>
            </w:pPr>
            <w:r>
              <w:rPr>
                <w:sz w:val="21"/>
                <w:szCs w:val="21"/>
              </w:rPr>
              <w:t>3</w:t>
            </w:r>
          </w:p>
        </w:tc>
        <w:tc>
          <w:tcPr>
            <w:tcW w:w="3487" w:type="dxa"/>
            <w:vAlign w:val="center"/>
          </w:tcPr>
          <w:p w:rsidR="000F7FAD" w:rsidRDefault="00BB4424">
            <w:pPr>
              <w:adjustRightInd w:val="0"/>
              <w:snapToGrid w:val="0"/>
              <w:spacing w:line="300" w:lineRule="exact"/>
              <w:rPr>
                <w:sz w:val="21"/>
                <w:szCs w:val="21"/>
              </w:rPr>
            </w:pPr>
            <w:r>
              <w:rPr>
                <w:sz w:val="21"/>
                <w:szCs w:val="21"/>
              </w:rPr>
              <w:t>城镇职工基本养老保险参保人数</w:t>
            </w:r>
          </w:p>
        </w:tc>
        <w:tc>
          <w:tcPr>
            <w:tcW w:w="1382" w:type="dxa"/>
            <w:vAlign w:val="center"/>
          </w:tcPr>
          <w:p w:rsidR="000F7FAD" w:rsidRDefault="00BB4424">
            <w:pPr>
              <w:adjustRightInd w:val="0"/>
              <w:snapToGrid w:val="0"/>
              <w:spacing w:line="300" w:lineRule="exact"/>
              <w:jc w:val="center"/>
              <w:rPr>
                <w:sz w:val="21"/>
                <w:szCs w:val="21"/>
              </w:rPr>
            </w:pPr>
            <w:r>
              <w:rPr>
                <w:sz w:val="21"/>
                <w:szCs w:val="21"/>
              </w:rPr>
              <w:t>万人</w:t>
            </w:r>
          </w:p>
        </w:tc>
        <w:tc>
          <w:tcPr>
            <w:tcW w:w="1245" w:type="dxa"/>
            <w:vAlign w:val="center"/>
          </w:tcPr>
          <w:p w:rsidR="000F7FAD" w:rsidRDefault="00BB4424">
            <w:pPr>
              <w:adjustRightInd w:val="0"/>
              <w:snapToGrid w:val="0"/>
              <w:spacing w:line="300" w:lineRule="exact"/>
              <w:jc w:val="center"/>
              <w:rPr>
                <w:sz w:val="21"/>
                <w:szCs w:val="21"/>
              </w:rPr>
            </w:pPr>
            <w:r>
              <w:rPr>
                <w:rFonts w:hint="eastAsia"/>
                <w:sz w:val="21"/>
                <w:szCs w:val="21"/>
              </w:rPr>
              <w:t>591</w:t>
            </w:r>
          </w:p>
        </w:tc>
        <w:tc>
          <w:tcPr>
            <w:tcW w:w="1170" w:type="dxa"/>
            <w:vAlign w:val="center"/>
          </w:tcPr>
          <w:p w:rsidR="000F7FAD" w:rsidRDefault="00BB4424">
            <w:pPr>
              <w:adjustRightInd w:val="0"/>
              <w:snapToGrid w:val="0"/>
              <w:spacing w:line="300" w:lineRule="exact"/>
              <w:jc w:val="center"/>
              <w:rPr>
                <w:sz w:val="21"/>
                <w:szCs w:val="21"/>
              </w:rPr>
            </w:pPr>
            <w:r>
              <w:rPr>
                <w:rFonts w:hint="eastAsia"/>
                <w:sz w:val="21"/>
                <w:szCs w:val="21"/>
              </w:rPr>
              <w:t>605</w:t>
            </w:r>
          </w:p>
        </w:tc>
        <w:tc>
          <w:tcPr>
            <w:tcW w:w="1168" w:type="dxa"/>
            <w:vAlign w:val="center"/>
          </w:tcPr>
          <w:p w:rsidR="000F7FAD" w:rsidRDefault="00BB4424">
            <w:pPr>
              <w:spacing w:line="300" w:lineRule="exact"/>
              <w:jc w:val="center"/>
              <w:rPr>
                <w:sz w:val="21"/>
                <w:szCs w:val="21"/>
              </w:rPr>
            </w:pPr>
            <w:r>
              <w:rPr>
                <w:sz w:val="21"/>
                <w:szCs w:val="21"/>
              </w:rPr>
              <w:t>预期性</w:t>
            </w:r>
          </w:p>
        </w:tc>
      </w:tr>
      <w:tr w:rsidR="000F7FAD">
        <w:trPr>
          <w:trHeight w:val="510"/>
          <w:jc w:val="center"/>
        </w:trPr>
        <w:tc>
          <w:tcPr>
            <w:tcW w:w="506" w:type="dxa"/>
            <w:vAlign w:val="center"/>
          </w:tcPr>
          <w:p w:rsidR="000F7FAD" w:rsidRDefault="00BB4424">
            <w:pPr>
              <w:adjustRightInd w:val="0"/>
              <w:snapToGrid w:val="0"/>
              <w:spacing w:line="300" w:lineRule="exact"/>
              <w:jc w:val="center"/>
              <w:rPr>
                <w:sz w:val="21"/>
                <w:szCs w:val="21"/>
              </w:rPr>
            </w:pPr>
            <w:r>
              <w:rPr>
                <w:sz w:val="21"/>
                <w:szCs w:val="21"/>
              </w:rPr>
              <w:t>4</w:t>
            </w:r>
          </w:p>
        </w:tc>
        <w:tc>
          <w:tcPr>
            <w:tcW w:w="3487" w:type="dxa"/>
            <w:vAlign w:val="center"/>
          </w:tcPr>
          <w:p w:rsidR="000F7FAD" w:rsidRDefault="00BB4424">
            <w:pPr>
              <w:adjustRightInd w:val="0"/>
              <w:snapToGrid w:val="0"/>
              <w:spacing w:line="300" w:lineRule="exact"/>
              <w:jc w:val="left"/>
              <w:rPr>
                <w:sz w:val="21"/>
                <w:szCs w:val="21"/>
              </w:rPr>
            </w:pPr>
            <w:r>
              <w:rPr>
                <w:sz w:val="21"/>
                <w:szCs w:val="21"/>
              </w:rPr>
              <w:t>失业保险参保人数</w:t>
            </w:r>
          </w:p>
        </w:tc>
        <w:tc>
          <w:tcPr>
            <w:tcW w:w="1382" w:type="dxa"/>
            <w:vAlign w:val="center"/>
          </w:tcPr>
          <w:p w:rsidR="000F7FAD" w:rsidRDefault="00BB4424">
            <w:pPr>
              <w:spacing w:line="300" w:lineRule="exact"/>
              <w:jc w:val="center"/>
            </w:pPr>
            <w:r>
              <w:rPr>
                <w:sz w:val="21"/>
                <w:szCs w:val="21"/>
              </w:rPr>
              <w:t>万人</w:t>
            </w:r>
          </w:p>
        </w:tc>
        <w:tc>
          <w:tcPr>
            <w:tcW w:w="1245" w:type="dxa"/>
            <w:vAlign w:val="center"/>
          </w:tcPr>
          <w:p w:rsidR="000F7FAD" w:rsidRDefault="00BB4424">
            <w:pPr>
              <w:adjustRightInd w:val="0"/>
              <w:snapToGrid w:val="0"/>
              <w:spacing w:line="300" w:lineRule="exact"/>
              <w:jc w:val="center"/>
              <w:rPr>
                <w:sz w:val="21"/>
                <w:szCs w:val="21"/>
              </w:rPr>
            </w:pPr>
            <w:r>
              <w:rPr>
                <w:sz w:val="21"/>
                <w:szCs w:val="21"/>
              </w:rPr>
              <w:t>43</w:t>
            </w:r>
            <w:r>
              <w:rPr>
                <w:rFonts w:hint="eastAsia"/>
                <w:sz w:val="21"/>
                <w:szCs w:val="21"/>
              </w:rPr>
              <w:t>8</w:t>
            </w:r>
          </w:p>
        </w:tc>
        <w:tc>
          <w:tcPr>
            <w:tcW w:w="1170" w:type="dxa"/>
            <w:vAlign w:val="center"/>
          </w:tcPr>
          <w:p w:rsidR="000F7FAD" w:rsidRDefault="00BB4424">
            <w:pPr>
              <w:adjustRightInd w:val="0"/>
              <w:snapToGrid w:val="0"/>
              <w:spacing w:line="300" w:lineRule="exact"/>
              <w:jc w:val="center"/>
              <w:rPr>
                <w:sz w:val="21"/>
                <w:szCs w:val="21"/>
              </w:rPr>
            </w:pPr>
            <w:r>
              <w:rPr>
                <w:rFonts w:hint="eastAsia"/>
                <w:sz w:val="21"/>
                <w:szCs w:val="21"/>
              </w:rPr>
              <w:t>455</w:t>
            </w:r>
          </w:p>
        </w:tc>
        <w:tc>
          <w:tcPr>
            <w:tcW w:w="1168" w:type="dxa"/>
            <w:vAlign w:val="center"/>
          </w:tcPr>
          <w:p w:rsidR="000F7FAD" w:rsidRDefault="00BB4424">
            <w:pPr>
              <w:spacing w:line="300" w:lineRule="exact"/>
              <w:jc w:val="center"/>
              <w:rPr>
                <w:sz w:val="21"/>
                <w:szCs w:val="21"/>
              </w:rPr>
            </w:pPr>
            <w:r>
              <w:rPr>
                <w:sz w:val="21"/>
                <w:szCs w:val="21"/>
              </w:rPr>
              <w:t>约束性</w:t>
            </w:r>
          </w:p>
        </w:tc>
      </w:tr>
      <w:tr w:rsidR="000F7FAD">
        <w:trPr>
          <w:trHeight w:val="510"/>
          <w:jc w:val="center"/>
        </w:trPr>
        <w:tc>
          <w:tcPr>
            <w:tcW w:w="506" w:type="dxa"/>
            <w:vAlign w:val="center"/>
          </w:tcPr>
          <w:p w:rsidR="000F7FAD" w:rsidRDefault="00BB4424">
            <w:pPr>
              <w:adjustRightInd w:val="0"/>
              <w:snapToGrid w:val="0"/>
              <w:spacing w:line="300" w:lineRule="exact"/>
              <w:jc w:val="center"/>
              <w:rPr>
                <w:sz w:val="21"/>
                <w:szCs w:val="21"/>
              </w:rPr>
            </w:pPr>
            <w:r>
              <w:rPr>
                <w:sz w:val="21"/>
                <w:szCs w:val="21"/>
              </w:rPr>
              <w:t>5</w:t>
            </w:r>
          </w:p>
        </w:tc>
        <w:tc>
          <w:tcPr>
            <w:tcW w:w="3487" w:type="dxa"/>
            <w:vAlign w:val="center"/>
          </w:tcPr>
          <w:p w:rsidR="000F7FAD" w:rsidRDefault="00BB4424">
            <w:pPr>
              <w:adjustRightInd w:val="0"/>
              <w:snapToGrid w:val="0"/>
              <w:spacing w:line="300" w:lineRule="exact"/>
              <w:jc w:val="left"/>
              <w:rPr>
                <w:sz w:val="21"/>
                <w:szCs w:val="21"/>
              </w:rPr>
            </w:pPr>
            <w:r>
              <w:rPr>
                <w:sz w:val="21"/>
                <w:szCs w:val="21"/>
              </w:rPr>
              <w:t>工伤保险参保人数</w:t>
            </w:r>
          </w:p>
        </w:tc>
        <w:tc>
          <w:tcPr>
            <w:tcW w:w="1382" w:type="dxa"/>
            <w:vAlign w:val="center"/>
          </w:tcPr>
          <w:p w:rsidR="000F7FAD" w:rsidRDefault="00BB4424">
            <w:pPr>
              <w:spacing w:line="300" w:lineRule="exact"/>
              <w:jc w:val="center"/>
            </w:pPr>
            <w:r>
              <w:rPr>
                <w:sz w:val="21"/>
                <w:szCs w:val="21"/>
              </w:rPr>
              <w:t>万人</w:t>
            </w:r>
          </w:p>
        </w:tc>
        <w:tc>
          <w:tcPr>
            <w:tcW w:w="1245" w:type="dxa"/>
            <w:vAlign w:val="center"/>
          </w:tcPr>
          <w:p w:rsidR="000F7FAD" w:rsidRDefault="00BB4424">
            <w:pPr>
              <w:adjustRightInd w:val="0"/>
              <w:snapToGrid w:val="0"/>
              <w:spacing w:line="300" w:lineRule="exact"/>
              <w:jc w:val="center"/>
              <w:rPr>
                <w:sz w:val="21"/>
                <w:szCs w:val="21"/>
              </w:rPr>
            </w:pPr>
            <w:r>
              <w:rPr>
                <w:sz w:val="21"/>
                <w:szCs w:val="21"/>
              </w:rPr>
              <w:t>45</w:t>
            </w:r>
            <w:r>
              <w:rPr>
                <w:rFonts w:hint="eastAsia"/>
                <w:sz w:val="21"/>
                <w:szCs w:val="21"/>
              </w:rPr>
              <w:t>3</w:t>
            </w:r>
          </w:p>
        </w:tc>
        <w:tc>
          <w:tcPr>
            <w:tcW w:w="1170" w:type="dxa"/>
            <w:vAlign w:val="center"/>
          </w:tcPr>
          <w:p w:rsidR="000F7FAD" w:rsidRDefault="00BB4424">
            <w:pPr>
              <w:adjustRightInd w:val="0"/>
              <w:snapToGrid w:val="0"/>
              <w:spacing w:line="300" w:lineRule="exact"/>
              <w:jc w:val="center"/>
              <w:rPr>
                <w:sz w:val="21"/>
                <w:szCs w:val="21"/>
              </w:rPr>
            </w:pPr>
            <w:r>
              <w:rPr>
                <w:rFonts w:hint="eastAsia"/>
                <w:sz w:val="21"/>
                <w:szCs w:val="21"/>
              </w:rPr>
              <w:t>475</w:t>
            </w:r>
          </w:p>
        </w:tc>
        <w:tc>
          <w:tcPr>
            <w:tcW w:w="1168" w:type="dxa"/>
            <w:vAlign w:val="center"/>
          </w:tcPr>
          <w:p w:rsidR="000F7FAD" w:rsidRDefault="00BB4424">
            <w:pPr>
              <w:spacing w:line="300" w:lineRule="exact"/>
              <w:jc w:val="center"/>
              <w:rPr>
                <w:sz w:val="21"/>
                <w:szCs w:val="21"/>
              </w:rPr>
            </w:pPr>
            <w:r>
              <w:rPr>
                <w:sz w:val="21"/>
                <w:szCs w:val="21"/>
              </w:rPr>
              <w:t>约束性</w:t>
            </w:r>
          </w:p>
        </w:tc>
      </w:tr>
      <w:tr w:rsidR="000F7FAD">
        <w:trPr>
          <w:trHeight w:val="510"/>
          <w:jc w:val="center"/>
        </w:trPr>
        <w:tc>
          <w:tcPr>
            <w:tcW w:w="506" w:type="dxa"/>
            <w:vAlign w:val="center"/>
          </w:tcPr>
          <w:p w:rsidR="000F7FAD" w:rsidRDefault="00BB4424">
            <w:pPr>
              <w:adjustRightInd w:val="0"/>
              <w:snapToGrid w:val="0"/>
              <w:spacing w:line="300" w:lineRule="exact"/>
              <w:jc w:val="center"/>
              <w:rPr>
                <w:sz w:val="21"/>
                <w:szCs w:val="21"/>
              </w:rPr>
            </w:pPr>
            <w:r>
              <w:rPr>
                <w:sz w:val="21"/>
                <w:szCs w:val="21"/>
              </w:rPr>
              <w:t>6</w:t>
            </w:r>
          </w:p>
        </w:tc>
        <w:tc>
          <w:tcPr>
            <w:tcW w:w="3487" w:type="dxa"/>
            <w:vAlign w:val="center"/>
          </w:tcPr>
          <w:p w:rsidR="000F7FAD" w:rsidRDefault="00BB4424">
            <w:pPr>
              <w:adjustRightInd w:val="0"/>
              <w:snapToGrid w:val="0"/>
              <w:spacing w:line="300" w:lineRule="exact"/>
              <w:jc w:val="left"/>
              <w:rPr>
                <w:sz w:val="21"/>
                <w:szCs w:val="21"/>
              </w:rPr>
            </w:pPr>
            <w:r>
              <w:rPr>
                <w:sz w:val="21"/>
                <w:szCs w:val="21"/>
              </w:rPr>
              <w:t>社会保障卡持卡人数</w:t>
            </w:r>
          </w:p>
        </w:tc>
        <w:tc>
          <w:tcPr>
            <w:tcW w:w="1382" w:type="dxa"/>
            <w:vAlign w:val="center"/>
          </w:tcPr>
          <w:p w:rsidR="000F7FAD" w:rsidRDefault="00BB4424">
            <w:pPr>
              <w:spacing w:line="300" w:lineRule="exact"/>
              <w:jc w:val="center"/>
            </w:pPr>
            <w:r>
              <w:rPr>
                <w:sz w:val="21"/>
                <w:szCs w:val="21"/>
              </w:rPr>
              <w:t>万人</w:t>
            </w:r>
          </w:p>
        </w:tc>
        <w:tc>
          <w:tcPr>
            <w:tcW w:w="1245" w:type="dxa"/>
            <w:vAlign w:val="center"/>
          </w:tcPr>
          <w:p w:rsidR="000F7FAD" w:rsidRDefault="00BB4424">
            <w:pPr>
              <w:adjustRightInd w:val="0"/>
              <w:snapToGrid w:val="0"/>
              <w:spacing w:line="300" w:lineRule="exact"/>
              <w:jc w:val="center"/>
              <w:rPr>
                <w:sz w:val="21"/>
                <w:szCs w:val="21"/>
              </w:rPr>
            </w:pPr>
            <w:r>
              <w:rPr>
                <w:sz w:val="21"/>
                <w:szCs w:val="21"/>
              </w:rPr>
              <w:t>930</w:t>
            </w:r>
          </w:p>
        </w:tc>
        <w:tc>
          <w:tcPr>
            <w:tcW w:w="1170" w:type="dxa"/>
            <w:vAlign w:val="center"/>
          </w:tcPr>
          <w:p w:rsidR="000F7FAD" w:rsidRDefault="00BB4424">
            <w:pPr>
              <w:adjustRightInd w:val="0"/>
              <w:snapToGrid w:val="0"/>
              <w:spacing w:line="300" w:lineRule="exact"/>
              <w:jc w:val="center"/>
              <w:rPr>
                <w:sz w:val="21"/>
                <w:szCs w:val="21"/>
              </w:rPr>
            </w:pPr>
            <w:r>
              <w:rPr>
                <w:sz w:val="21"/>
                <w:szCs w:val="21"/>
              </w:rPr>
              <w:t>1026</w:t>
            </w:r>
          </w:p>
        </w:tc>
        <w:tc>
          <w:tcPr>
            <w:tcW w:w="1168" w:type="dxa"/>
            <w:vAlign w:val="center"/>
          </w:tcPr>
          <w:p w:rsidR="000F7FAD" w:rsidRDefault="00BB4424">
            <w:pPr>
              <w:spacing w:line="300" w:lineRule="exact"/>
              <w:jc w:val="center"/>
              <w:rPr>
                <w:sz w:val="21"/>
                <w:szCs w:val="21"/>
              </w:rPr>
            </w:pPr>
            <w:r>
              <w:rPr>
                <w:sz w:val="21"/>
                <w:szCs w:val="21"/>
              </w:rPr>
              <w:t>预期性</w:t>
            </w:r>
          </w:p>
        </w:tc>
      </w:tr>
      <w:tr w:rsidR="000F7FAD">
        <w:trPr>
          <w:trHeight w:val="510"/>
          <w:jc w:val="center"/>
        </w:trPr>
        <w:tc>
          <w:tcPr>
            <w:tcW w:w="8958" w:type="dxa"/>
            <w:gridSpan w:val="6"/>
            <w:vAlign w:val="center"/>
          </w:tcPr>
          <w:p w:rsidR="000F7FAD" w:rsidRDefault="00BB4424">
            <w:pPr>
              <w:adjustRightInd w:val="0"/>
              <w:snapToGrid w:val="0"/>
              <w:spacing w:line="300" w:lineRule="exact"/>
              <w:jc w:val="left"/>
              <w:rPr>
                <w:rFonts w:eastAsia="黑体"/>
                <w:sz w:val="21"/>
                <w:szCs w:val="21"/>
              </w:rPr>
            </w:pPr>
            <w:r>
              <w:rPr>
                <w:rFonts w:eastAsia="黑体"/>
                <w:sz w:val="21"/>
                <w:szCs w:val="21"/>
              </w:rPr>
              <w:t>三、人才队伍建设</w:t>
            </w:r>
          </w:p>
        </w:tc>
      </w:tr>
      <w:tr w:rsidR="000F7FAD">
        <w:trPr>
          <w:trHeight w:val="510"/>
          <w:jc w:val="center"/>
        </w:trPr>
        <w:tc>
          <w:tcPr>
            <w:tcW w:w="506" w:type="dxa"/>
            <w:vAlign w:val="center"/>
          </w:tcPr>
          <w:p w:rsidR="000F7FAD" w:rsidRDefault="00BB4424">
            <w:pPr>
              <w:adjustRightInd w:val="0"/>
              <w:snapToGrid w:val="0"/>
              <w:spacing w:line="300" w:lineRule="exact"/>
              <w:jc w:val="center"/>
              <w:rPr>
                <w:sz w:val="21"/>
                <w:szCs w:val="21"/>
              </w:rPr>
            </w:pPr>
            <w:r>
              <w:rPr>
                <w:sz w:val="21"/>
                <w:szCs w:val="21"/>
              </w:rPr>
              <w:t>7</w:t>
            </w:r>
          </w:p>
        </w:tc>
        <w:tc>
          <w:tcPr>
            <w:tcW w:w="3487" w:type="dxa"/>
            <w:vAlign w:val="center"/>
          </w:tcPr>
          <w:p w:rsidR="000F7FAD" w:rsidRDefault="00BB4424">
            <w:pPr>
              <w:adjustRightInd w:val="0"/>
              <w:snapToGrid w:val="0"/>
              <w:spacing w:line="300" w:lineRule="exact"/>
              <w:jc w:val="left"/>
              <w:rPr>
                <w:sz w:val="21"/>
                <w:szCs w:val="21"/>
              </w:rPr>
            </w:pPr>
            <w:r>
              <w:rPr>
                <w:sz w:val="21"/>
                <w:szCs w:val="21"/>
              </w:rPr>
              <w:t>专业技术人才总量</w:t>
            </w:r>
          </w:p>
        </w:tc>
        <w:tc>
          <w:tcPr>
            <w:tcW w:w="1382" w:type="dxa"/>
            <w:vAlign w:val="center"/>
          </w:tcPr>
          <w:p w:rsidR="000F7FAD" w:rsidRDefault="00BB4424">
            <w:pPr>
              <w:adjustRightInd w:val="0"/>
              <w:snapToGrid w:val="0"/>
              <w:spacing w:line="300" w:lineRule="exact"/>
              <w:jc w:val="center"/>
              <w:rPr>
                <w:sz w:val="21"/>
                <w:szCs w:val="21"/>
              </w:rPr>
            </w:pPr>
            <w:r>
              <w:rPr>
                <w:sz w:val="21"/>
                <w:szCs w:val="21"/>
              </w:rPr>
              <w:t>万人</w:t>
            </w:r>
          </w:p>
        </w:tc>
        <w:tc>
          <w:tcPr>
            <w:tcW w:w="1245" w:type="dxa"/>
            <w:vAlign w:val="center"/>
          </w:tcPr>
          <w:p w:rsidR="000F7FAD" w:rsidRDefault="00BB4424">
            <w:pPr>
              <w:adjustRightInd w:val="0"/>
              <w:snapToGrid w:val="0"/>
              <w:spacing w:line="300" w:lineRule="exact"/>
              <w:jc w:val="center"/>
              <w:rPr>
                <w:sz w:val="21"/>
                <w:szCs w:val="21"/>
              </w:rPr>
            </w:pPr>
            <w:r>
              <w:rPr>
                <w:sz w:val="21"/>
                <w:szCs w:val="21"/>
              </w:rPr>
              <w:t>2</w:t>
            </w:r>
            <w:r>
              <w:rPr>
                <w:rFonts w:hint="eastAsia"/>
                <w:sz w:val="21"/>
                <w:szCs w:val="21"/>
              </w:rPr>
              <w:t>8</w:t>
            </w:r>
          </w:p>
        </w:tc>
        <w:tc>
          <w:tcPr>
            <w:tcW w:w="1170" w:type="dxa"/>
            <w:vAlign w:val="center"/>
          </w:tcPr>
          <w:p w:rsidR="000F7FAD" w:rsidRDefault="00BB4424">
            <w:pPr>
              <w:adjustRightInd w:val="0"/>
              <w:snapToGrid w:val="0"/>
              <w:spacing w:line="300" w:lineRule="exact"/>
              <w:jc w:val="center"/>
              <w:rPr>
                <w:sz w:val="21"/>
                <w:szCs w:val="21"/>
              </w:rPr>
            </w:pPr>
            <w:r>
              <w:rPr>
                <w:sz w:val="21"/>
                <w:szCs w:val="21"/>
              </w:rPr>
              <w:t>40</w:t>
            </w:r>
          </w:p>
        </w:tc>
        <w:tc>
          <w:tcPr>
            <w:tcW w:w="1168" w:type="dxa"/>
            <w:vAlign w:val="center"/>
          </w:tcPr>
          <w:p w:rsidR="000F7FAD" w:rsidRDefault="00BB4424">
            <w:pPr>
              <w:spacing w:line="300" w:lineRule="exact"/>
              <w:jc w:val="center"/>
              <w:rPr>
                <w:sz w:val="21"/>
                <w:szCs w:val="21"/>
              </w:rPr>
            </w:pPr>
            <w:r>
              <w:rPr>
                <w:sz w:val="21"/>
                <w:szCs w:val="21"/>
              </w:rPr>
              <w:t>预期性</w:t>
            </w:r>
          </w:p>
        </w:tc>
      </w:tr>
      <w:tr w:rsidR="000F7FAD">
        <w:trPr>
          <w:trHeight w:val="510"/>
          <w:jc w:val="center"/>
        </w:trPr>
        <w:tc>
          <w:tcPr>
            <w:tcW w:w="506" w:type="dxa"/>
            <w:vAlign w:val="center"/>
          </w:tcPr>
          <w:p w:rsidR="000F7FAD" w:rsidRDefault="00BB4424">
            <w:pPr>
              <w:adjustRightInd w:val="0"/>
              <w:snapToGrid w:val="0"/>
              <w:spacing w:line="300" w:lineRule="exact"/>
              <w:jc w:val="center"/>
              <w:rPr>
                <w:sz w:val="21"/>
                <w:szCs w:val="21"/>
              </w:rPr>
            </w:pPr>
            <w:r>
              <w:rPr>
                <w:sz w:val="21"/>
                <w:szCs w:val="21"/>
              </w:rPr>
              <w:t>8</w:t>
            </w:r>
          </w:p>
        </w:tc>
        <w:tc>
          <w:tcPr>
            <w:tcW w:w="3487" w:type="dxa"/>
            <w:vAlign w:val="center"/>
          </w:tcPr>
          <w:p w:rsidR="000F7FAD" w:rsidRDefault="00BB4424">
            <w:pPr>
              <w:adjustRightInd w:val="0"/>
              <w:snapToGrid w:val="0"/>
              <w:spacing w:line="300" w:lineRule="exact"/>
              <w:jc w:val="left"/>
              <w:rPr>
                <w:sz w:val="21"/>
                <w:szCs w:val="21"/>
              </w:rPr>
            </w:pPr>
            <w:r>
              <w:rPr>
                <w:sz w:val="21"/>
                <w:szCs w:val="21"/>
              </w:rPr>
              <w:t>博士后研究人员年招收数</w:t>
            </w:r>
          </w:p>
        </w:tc>
        <w:tc>
          <w:tcPr>
            <w:tcW w:w="1382" w:type="dxa"/>
            <w:vAlign w:val="center"/>
          </w:tcPr>
          <w:p w:rsidR="000F7FAD" w:rsidRDefault="00BB4424">
            <w:pPr>
              <w:adjustRightInd w:val="0"/>
              <w:snapToGrid w:val="0"/>
              <w:spacing w:line="300" w:lineRule="exact"/>
              <w:jc w:val="center"/>
              <w:rPr>
                <w:sz w:val="21"/>
                <w:szCs w:val="21"/>
              </w:rPr>
            </w:pPr>
            <w:r>
              <w:rPr>
                <w:sz w:val="21"/>
                <w:szCs w:val="21"/>
              </w:rPr>
              <w:t>人</w:t>
            </w:r>
          </w:p>
        </w:tc>
        <w:tc>
          <w:tcPr>
            <w:tcW w:w="1245" w:type="dxa"/>
            <w:vAlign w:val="center"/>
          </w:tcPr>
          <w:p w:rsidR="000F7FAD" w:rsidRDefault="00BB4424">
            <w:pPr>
              <w:adjustRightInd w:val="0"/>
              <w:snapToGrid w:val="0"/>
              <w:spacing w:line="300" w:lineRule="exact"/>
              <w:jc w:val="center"/>
              <w:rPr>
                <w:sz w:val="21"/>
                <w:szCs w:val="21"/>
              </w:rPr>
            </w:pPr>
            <w:r>
              <w:rPr>
                <w:sz w:val="21"/>
                <w:szCs w:val="21"/>
              </w:rPr>
              <w:t>85</w:t>
            </w:r>
          </w:p>
        </w:tc>
        <w:tc>
          <w:tcPr>
            <w:tcW w:w="1170" w:type="dxa"/>
            <w:vAlign w:val="center"/>
          </w:tcPr>
          <w:p w:rsidR="000F7FAD" w:rsidRDefault="00BB4424">
            <w:pPr>
              <w:adjustRightInd w:val="0"/>
              <w:snapToGrid w:val="0"/>
              <w:spacing w:line="300" w:lineRule="exact"/>
              <w:jc w:val="center"/>
              <w:rPr>
                <w:sz w:val="21"/>
                <w:szCs w:val="21"/>
              </w:rPr>
            </w:pPr>
            <w:r>
              <w:rPr>
                <w:sz w:val="21"/>
                <w:szCs w:val="21"/>
              </w:rPr>
              <w:t>100</w:t>
            </w:r>
          </w:p>
        </w:tc>
        <w:tc>
          <w:tcPr>
            <w:tcW w:w="1168" w:type="dxa"/>
            <w:vAlign w:val="center"/>
          </w:tcPr>
          <w:p w:rsidR="000F7FAD" w:rsidRDefault="00BB4424">
            <w:pPr>
              <w:spacing w:line="300" w:lineRule="exact"/>
              <w:jc w:val="center"/>
              <w:rPr>
                <w:sz w:val="21"/>
                <w:szCs w:val="21"/>
              </w:rPr>
            </w:pPr>
            <w:r>
              <w:rPr>
                <w:sz w:val="21"/>
                <w:szCs w:val="21"/>
              </w:rPr>
              <w:t>预期性</w:t>
            </w:r>
          </w:p>
        </w:tc>
      </w:tr>
      <w:tr w:rsidR="000F7FAD">
        <w:trPr>
          <w:trHeight w:val="510"/>
          <w:jc w:val="center"/>
        </w:trPr>
        <w:tc>
          <w:tcPr>
            <w:tcW w:w="506" w:type="dxa"/>
            <w:vAlign w:val="center"/>
          </w:tcPr>
          <w:p w:rsidR="000F7FAD" w:rsidRDefault="00BB4424">
            <w:pPr>
              <w:adjustRightInd w:val="0"/>
              <w:snapToGrid w:val="0"/>
              <w:spacing w:line="300" w:lineRule="exact"/>
              <w:jc w:val="center"/>
              <w:rPr>
                <w:sz w:val="21"/>
                <w:szCs w:val="21"/>
              </w:rPr>
            </w:pPr>
            <w:r>
              <w:rPr>
                <w:rFonts w:hint="eastAsia"/>
                <w:sz w:val="21"/>
                <w:szCs w:val="21"/>
              </w:rPr>
              <w:t>9</w:t>
            </w:r>
          </w:p>
        </w:tc>
        <w:tc>
          <w:tcPr>
            <w:tcW w:w="3487" w:type="dxa"/>
            <w:vAlign w:val="center"/>
          </w:tcPr>
          <w:p w:rsidR="000F7FAD" w:rsidRDefault="00BB4424">
            <w:pPr>
              <w:adjustRightInd w:val="0"/>
              <w:snapToGrid w:val="0"/>
              <w:spacing w:line="300" w:lineRule="exact"/>
              <w:jc w:val="left"/>
              <w:rPr>
                <w:sz w:val="21"/>
                <w:szCs w:val="21"/>
              </w:rPr>
            </w:pPr>
            <w:r>
              <w:rPr>
                <w:sz w:val="21"/>
                <w:szCs w:val="21"/>
              </w:rPr>
              <w:t>技能劳动者占就业人员总量的比例</w:t>
            </w:r>
          </w:p>
        </w:tc>
        <w:tc>
          <w:tcPr>
            <w:tcW w:w="1382" w:type="dxa"/>
            <w:vAlign w:val="center"/>
          </w:tcPr>
          <w:p w:rsidR="000F7FAD" w:rsidRDefault="00BB4424">
            <w:pPr>
              <w:adjustRightInd w:val="0"/>
              <w:snapToGrid w:val="0"/>
              <w:spacing w:line="300" w:lineRule="exact"/>
              <w:jc w:val="center"/>
              <w:rPr>
                <w:sz w:val="21"/>
                <w:szCs w:val="21"/>
              </w:rPr>
            </w:pPr>
            <w:r>
              <w:rPr>
                <w:sz w:val="21"/>
                <w:szCs w:val="21"/>
              </w:rPr>
              <w:t>%</w:t>
            </w:r>
          </w:p>
        </w:tc>
        <w:tc>
          <w:tcPr>
            <w:tcW w:w="1245" w:type="dxa"/>
            <w:vAlign w:val="center"/>
          </w:tcPr>
          <w:p w:rsidR="000F7FAD" w:rsidRDefault="00BB4424">
            <w:pPr>
              <w:adjustRightInd w:val="0"/>
              <w:snapToGrid w:val="0"/>
              <w:spacing w:line="300" w:lineRule="exact"/>
              <w:jc w:val="center"/>
              <w:rPr>
                <w:sz w:val="21"/>
                <w:szCs w:val="21"/>
              </w:rPr>
            </w:pPr>
            <w:r>
              <w:rPr>
                <w:sz w:val="21"/>
                <w:szCs w:val="21"/>
              </w:rPr>
              <w:t>22</w:t>
            </w:r>
          </w:p>
        </w:tc>
        <w:tc>
          <w:tcPr>
            <w:tcW w:w="1170" w:type="dxa"/>
            <w:vAlign w:val="center"/>
          </w:tcPr>
          <w:p w:rsidR="000F7FAD" w:rsidRDefault="00BB4424">
            <w:pPr>
              <w:adjustRightInd w:val="0"/>
              <w:snapToGrid w:val="0"/>
              <w:spacing w:line="300" w:lineRule="exact"/>
              <w:jc w:val="center"/>
              <w:rPr>
                <w:sz w:val="21"/>
                <w:szCs w:val="21"/>
              </w:rPr>
            </w:pPr>
            <w:r>
              <w:rPr>
                <w:sz w:val="21"/>
                <w:szCs w:val="21"/>
              </w:rPr>
              <w:t>30</w:t>
            </w:r>
          </w:p>
        </w:tc>
        <w:tc>
          <w:tcPr>
            <w:tcW w:w="1168" w:type="dxa"/>
            <w:vAlign w:val="center"/>
          </w:tcPr>
          <w:p w:rsidR="000F7FAD" w:rsidRDefault="00BB4424">
            <w:pPr>
              <w:spacing w:line="300" w:lineRule="exact"/>
              <w:jc w:val="center"/>
              <w:rPr>
                <w:sz w:val="21"/>
                <w:szCs w:val="21"/>
              </w:rPr>
            </w:pPr>
            <w:r>
              <w:rPr>
                <w:sz w:val="21"/>
                <w:szCs w:val="21"/>
              </w:rPr>
              <w:t>预期性</w:t>
            </w:r>
          </w:p>
        </w:tc>
      </w:tr>
      <w:tr w:rsidR="000F7FAD">
        <w:trPr>
          <w:trHeight w:val="510"/>
          <w:jc w:val="center"/>
        </w:trPr>
        <w:tc>
          <w:tcPr>
            <w:tcW w:w="506" w:type="dxa"/>
            <w:vAlign w:val="center"/>
          </w:tcPr>
          <w:p w:rsidR="000F7FAD" w:rsidRDefault="00BB4424">
            <w:pPr>
              <w:adjustRightInd w:val="0"/>
              <w:snapToGrid w:val="0"/>
              <w:spacing w:line="300" w:lineRule="exact"/>
              <w:jc w:val="center"/>
              <w:rPr>
                <w:sz w:val="21"/>
                <w:szCs w:val="21"/>
              </w:rPr>
            </w:pPr>
            <w:r>
              <w:rPr>
                <w:sz w:val="21"/>
                <w:szCs w:val="21"/>
              </w:rPr>
              <w:t>10</w:t>
            </w:r>
          </w:p>
        </w:tc>
        <w:tc>
          <w:tcPr>
            <w:tcW w:w="3487" w:type="dxa"/>
            <w:vAlign w:val="center"/>
          </w:tcPr>
          <w:p w:rsidR="000F7FAD" w:rsidRDefault="00BB4424">
            <w:pPr>
              <w:adjustRightInd w:val="0"/>
              <w:snapToGrid w:val="0"/>
              <w:spacing w:line="300" w:lineRule="exact"/>
              <w:jc w:val="left"/>
              <w:rPr>
                <w:sz w:val="21"/>
                <w:szCs w:val="21"/>
              </w:rPr>
            </w:pPr>
            <w:r>
              <w:rPr>
                <w:sz w:val="21"/>
                <w:szCs w:val="21"/>
              </w:rPr>
              <w:t>技工院校年招生人数</w:t>
            </w:r>
          </w:p>
        </w:tc>
        <w:tc>
          <w:tcPr>
            <w:tcW w:w="1382" w:type="dxa"/>
            <w:vAlign w:val="center"/>
          </w:tcPr>
          <w:p w:rsidR="000F7FAD" w:rsidRDefault="00BB4424">
            <w:pPr>
              <w:adjustRightInd w:val="0"/>
              <w:snapToGrid w:val="0"/>
              <w:spacing w:line="300" w:lineRule="exact"/>
              <w:jc w:val="center"/>
              <w:rPr>
                <w:sz w:val="21"/>
                <w:szCs w:val="21"/>
              </w:rPr>
            </w:pPr>
            <w:r>
              <w:rPr>
                <w:sz w:val="21"/>
                <w:szCs w:val="21"/>
              </w:rPr>
              <w:t>人</w:t>
            </w:r>
          </w:p>
        </w:tc>
        <w:tc>
          <w:tcPr>
            <w:tcW w:w="1245" w:type="dxa"/>
            <w:vAlign w:val="center"/>
          </w:tcPr>
          <w:p w:rsidR="000F7FAD" w:rsidRDefault="00BB4424">
            <w:pPr>
              <w:adjustRightInd w:val="0"/>
              <w:snapToGrid w:val="0"/>
              <w:spacing w:line="300" w:lineRule="exact"/>
              <w:jc w:val="center"/>
              <w:rPr>
                <w:sz w:val="21"/>
                <w:szCs w:val="21"/>
              </w:rPr>
            </w:pPr>
            <w:r>
              <w:rPr>
                <w:sz w:val="21"/>
                <w:szCs w:val="21"/>
              </w:rPr>
              <w:t>7817</w:t>
            </w:r>
          </w:p>
        </w:tc>
        <w:tc>
          <w:tcPr>
            <w:tcW w:w="1170" w:type="dxa"/>
            <w:vAlign w:val="center"/>
          </w:tcPr>
          <w:p w:rsidR="000F7FAD" w:rsidRDefault="00BB4424">
            <w:pPr>
              <w:adjustRightInd w:val="0"/>
              <w:snapToGrid w:val="0"/>
              <w:spacing w:line="300" w:lineRule="exact"/>
              <w:jc w:val="center"/>
              <w:rPr>
                <w:sz w:val="21"/>
                <w:szCs w:val="21"/>
              </w:rPr>
            </w:pPr>
            <w:r>
              <w:rPr>
                <w:sz w:val="21"/>
                <w:szCs w:val="21"/>
              </w:rPr>
              <w:t>8</w:t>
            </w:r>
            <w:r>
              <w:rPr>
                <w:rFonts w:hint="eastAsia"/>
                <w:sz w:val="21"/>
                <w:szCs w:val="21"/>
              </w:rPr>
              <w:t>5</w:t>
            </w:r>
            <w:r>
              <w:rPr>
                <w:sz w:val="21"/>
                <w:szCs w:val="21"/>
              </w:rPr>
              <w:t>00</w:t>
            </w:r>
          </w:p>
        </w:tc>
        <w:tc>
          <w:tcPr>
            <w:tcW w:w="1168" w:type="dxa"/>
            <w:vAlign w:val="center"/>
          </w:tcPr>
          <w:p w:rsidR="000F7FAD" w:rsidRDefault="00BB4424">
            <w:pPr>
              <w:spacing w:line="300" w:lineRule="exact"/>
              <w:jc w:val="center"/>
              <w:rPr>
                <w:sz w:val="21"/>
                <w:szCs w:val="21"/>
              </w:rPr>
            </w:pPr>
            <w:r>
              <w:rPr>
                <w:sz w:val="21"/>
                <w:szCs w:val="21"/>
              </w:rPr>
              <w:t>预期性</w:t>
            </w:r>
          </w:p>
        </w:tc>
      </w:tr>
      <w:tr w:rsidR="000F7FAD">
        <w:trPr>
          <w:trHeight w:val="510"/>
          <w:jc w:val="center"/>
        </w:trPr>
        <w:tc>
          <w:tcPr>
            <w:tcW w:w="506" w:type="dxa"/>
            <w:vAlign w:val="center"/>
          </w:tcPr>
          <w:p w:rsidR="000F7FAD" w:rsidRDefault="00BB4424">
            <w:pPr>
              <w:adjustRightInd w:val="0"/>
              <w:snapToGrid w:val="0"/>
              <w:spacing w:line="300" w:lineRule="exact"/>
              <w:jc w:val="center"/>
              <w:rPr>
                <w:sz w:val="21"/>
                <w:szCs w:val="21"/>
              </w:rPr>
            </w:pPr>
            <w:r>
              <w:rPr>
                <w:sz w:val="21"/>
                <w:szCs w:val="21"/>
              </w:rPr>
              <w:t>11</w:t>
            </w:r>
          </w:p>
        </w:tc>
        <w:tc>
          <w:tcPr>
            <w:tcW w:w="3487" w:type="dxa"/>
            <w:vAlign w:val="center"/>
          </w:tcPr>
          <w:p w:rsidR="000F7FAD" w:rsidRDefault="00BB4424">
            <w:pPr>
              <w:adjustRightInd w:val="0"/>
              <w:snapToGrid w:val="0"/>
              <w:spacing w:line="300" w:lineRule="exact"/>
              <w:jc w:val="left"/>
              <w:rPr>
                <w:sz w:val="21"/>
                <w:szCs w:val="21"/>
              </w:rPr>
            </w:pPr>
            <w:r>
              <w:rPr>
                <w:sz w:val="21"/>
                <w:szCs w:val="21"/>
              </w:rPr>
              <w:t>开展补贴性职业技能培训人次</w:t>
            </w:r>
          </w:p>
        </w:tc>
        <w:tc>
          <w:tcPr>
            <w:tcW w:w="1382" w:type="dxa"/>
            <w:vAlign w:val="center"/>
          </w:tcPr>
          <w:p w:rsidR="000F7FAD" w:rsidRDefault="00BB4424">
            <w:pPr>
              <w:adjustRightInd w:val="0"/>
              <w:snapToGrid w:val="0"/>
              <w:spacing w:line="300" w:lineRule="exact"/>
              <w:jc w:val="center"/>
              <w:rPr>
                <w:sz w:val="21"/>
                <w:szCs w:val="21"/>
              </w:rPr>
            </w:pPr>
            <w:r>
              <w:rPr>
                <w:sz w:val="21"/>
                <w:szCs w:val="21"/>
              </w:rPr>
              <w:t>万人次</w:t>
            </w:r>
          </w:p>
        </w:tc>
        <w:tc>
          <w:tcPr>
            <w:tcW w:w="1245" w:type="dxa"/>
            <w:vAlign w:val="center"/>
          </w:tcPr>
          <w:p w:rsidR="000F7FAD" w:rsidRDefault="00BB4424">
            <w:pPr>
              <w:adjustRightInd w:val="0"/>
              <w:snapToGrid w:val="0"/>
              <w:spacing w:line="300" w:lineRule="exact"/>
              <w:jc w:val="center"/>
              <w:rPr>
                <w:sz w:val="21"/>
                <w:szCs w:val="21"/>
              </w:rPr>
            </w:pPr>
            <w:r>
              <w:rPr>
                <w:sz w:val="21"/>
                <w:szCs w:val="21"/>
              </w:rPr>
              <w:t>[102.9]</w:t>
            </w:r>
          </w:p>
        </w:tc>
        <w:tc>
          <w:tcPr>
            <w:tcW w:w="1170" w:type="dxa"/>
            <w:vAlign w:val="center"/>
          </w:tcPr>
          <w:p w:rsidR="000F7FAD" w:rsidRDefault="00BB4424">
            <w:pPr>
              <w:adjustRightInd w:val="0"/>
              <w:snapToGrid w:val="0"/>
              <w:spacing w:line="300" w:lineRule="exact"/>
              <w:jc w:val="center"/>
              <w:rPr>
                <w:sz w:val="21"/>
                <w:szCs w:val="21"/>
              </w:rPr>
            </w:pPr>
            <w:r>
              <w:rPr>
                <w:sz w:val="21"/>
                <w:szCs w:val="21"/>
              </w:rPr>
              <w:t>[100]</w:t>
            </w:r>
          </w:p>
        </w:tc>
        <w:tc>
          <w:tcPr>
            <w:tcW w:w="1168" w:type="dxa"/>
            <w:vAlign w:val="center"/>
          </w:tcPr>
          <w:p w:rsidR="000F7FAD" w:rsidRDefault="00BB4424">
            <w:pPr>
              <w:spacing w:line="300" w:lineRule="exact"/>
              <w:jc w:val="center"/>
              <w:rPr>
                <w:sz w:val="21"/>
                <w:szCs w:val="21"/>
              </w:rPr>
            </w:pPr>
            <w:r>
              <w:rPr>
                <w:sz w:val="21"/>
                <w:szCs w:val="21"/>
              </w:rPr>
              <w:t>预期性</w:t>
            </w:r>
          </w:p>
        </w:tc>
      </w:tr>
      <w:tr w:rsidR="000F7FAD">
        <w:trPr>
          <w:trHeight w:val="510"/>
          <w:jc w:val="center"/>
        </w:trPr>
        <w:tc>
          <w:tcPr>
            <w:tcW w:w="506" w:type="dxa"/>
            <w:vAlign w:val="center"/>
          </w:tcPr>
          <w:p w:rsidR="000F7FAD" w:rsidRDefault="00BB4424">
            <w:pPr>
              <w:adjustRightInd w:val="0"/>
              <w:snapToGrid w:val="0"/>
              <w:spacing w:line="300" w:lineRule="exact"/>
              <w:jc w:val="center"/>
              <w:rPr>
                <w:sz w:val="21"/>
                <w:szCs w:val="21"/>
              </w:rPr>
            </w:pPr>
            <w:r>
              <w:rPr>
                <w:sz w:val="21"/>
                <w:szCs w:val="21"/>
              </w:rPr>
              <w:t>12</w:t>
            </w:r>
          </w:p>
        </w:tc>
        <w:tc>
          <w:tcPr>
            <w:tcW w:w="3487" w:type="dxa"/>
            <w:vAlign w:val="center"/>
          </w:tcPr>
          <w:p w:rsidR="000F7FAD" w:rsidRDefault="00BB4424">
            <w:pPr>
              <w:adjustRightInd w:val="0"/>
              <w:snapToGrid w:val="0"/>
              <w:spacing w:line="300" w:lineRule="exact"/>
              <w:jc w:val="left"/>
              <w:rPr>
                <w:sz w:val="21"/>
                <w:szCs w:val="21"/>
              </w:rPr>
            </w:pPr>
            <w:r>
              <w:rPr>
                <w:sz w:val="21"/>
                <w:szCs w:val="21"/>
              </w:rPr>
              <w:t>“</w:t>
            </w:r>
            <w:r>
              <w:rPr>
                <w:rFonts w:hAnsi="仿宋_GB2312"/>
                <w:sz w:val="21"/>
                <w:szCs w:val="21"/>
              </w:rPr>
              <w:t>粤菜师傅</w:t>
            </w:r>
            <w:r>
              <w:rPr>
                <w:sz w:val="21"/>
                <w:szCs w:val="21"/>
              </w:rPr>
              <w:t>”</w:t>
            </w:r>
            <w:r>
              <w:rPr>
                <w:rFonts w:hAnsi="仿宋_GB2312"/>
                <w:sz w:val="21"/>
                <w:szCs w:val="21"/>
              </w:rPr>
              <w:t>培训</w:t>
            </w:r>
            <w:r>
              <w:rPr>
                <w:sz w:val="21"/>
                <w:szCs w:val="21"/>
              </w:rPr>
              <w:t>人次</w:t>
            </w:r>
          </w:p>
        </w:tc>
        <w:tc>
          <w:tcPr>
            <w:tcW w:w="1382" w:type="dxa"/>
            <w:vAlign w:val="center"/>
          </w:tcPr>
          <w:p w:rsidR="000F7FAD" w:rsidRDefault="00BB4424">
            <w:pPr>
              <w:adjustRightInd w:val="0"/>
              <w:snapToGrid w:val="0"/>
              <w:spacing w:line="300" w:lineRule="exact"/>
              <w:jc w:val="center"/>
              <w:rPr>
                <w:sz w:val="21"/>
                <w:szCs w:val="21"/>
              </w:rPr>
            </w:pPr>
            <w:r>
              <w:rPr>
                <w:sz w:val="21"/>
                <w:szCs w:val="21"/>
              </w:rPr>
              <w:t>人次</w:t>
            </w:r>
          </w:p>
        </w:tc>
        <w:tc>
          <w:tcPr>
            <w:tcW w:w="1245" w:type="dxa"/>
            <w:vAlign w:val="center"/>
          </w:tcPr>
          <w:p w:rsidR="000F7FAD" w:rsidRDefault="00BB4424">
            <w:pPr>
              <w:adjustRightInd w:val="0"/>
              <w:snapToGrid w:val="0"/>
              <w:spacing w:line="300" w:lineRule="exact"/>
              <w:jc w:val="center"/>
              <w:rPr>
                <w:sz w:val="21"/>
                <w:szCs w:val="21"/>
              </w:rPr>
            </w:pPr>
            <w:r>
              <w:rPr>
                <w:sz w:val="21"/>
                <w:szCs w:val="21"/>
              </w:rPr>
              <w:t>[4622]</w:t>
            </w:r>
          </w:p>
        </w:tc>
        <w:tc>
          <w:tcPr>
            <w:tcW w:w="1170" w:type="dxa"/>
            <w:vAlign w:val="center"/>
          </w:tcPr>
          <w:p w:rsidR="000F7FAD" w:rsidRDefault="00BB4424">
            <w:pPr>
              <w:adjustRightInd w:val="0"/>
              <w:snapToGrid w:val="0"/>
              <w:spacing w:line="300" w:lineRule="exact"/>
              <w:jc w:val="center"/>
              <w:rPr>
                <w:sz w:val="21"/>
                <w:szCs w:val="21"/>
              </w:rPr>
            </w:pPr>
            <w:r>
              <w:rPr>
                <w:sz w:val="21"/>
                <w:szCs w:val="21"/>
              </w:rPr>
              <w:t>[7000]</w:t>
            </w:r>
          </w:p>
        </w:tc>
        <w:tc>
          <w:tcPr>
            <w:tcW w:w="1168" w:type="dxa"/>
            <w:vAlign w:val="center"/>
          </w:tcPr>
          <w:p w:rsidR="000F7FAD" w:rsidRDefault="00BB4424">
            <w:pPr>
              <w:spacing w:line="300" w:lineRule="exact"/>
              <w:jc w:val="center"/>
              <w:rPr>
                <w:sz w:val="21"/>
                <w:szCs w:val="21"/>
              </w:rPr>
            </w:pPr>
            <w:r>
              <w:rPr>
                <w:sz w:val="21"/>
                <w:szCs w:val="21"/>
              </w:rPr>
              <w:t>预期性</w:t>
            </w:r>
          </w:p>
        </w:tc>
      </w:tr>
      <w:tr w:rsidR="000F7FAD">
        <w:trPr>
          <w:trHeight w:val="510"/>
          <w:jc w:val="center"/>
        </w:trPr>
        <w:tc>
          <w:tcPr>
            <w:tcW w:w="506" w:type="dxa"/>
            <w:vAlign w:val="center"/>
          </w:tcPr>
          <w:p w:rsidR="000F7FAD" w:rsidRDefault="00BB4424">
            <w:pPr>
              <w:adjustRightInd w:val="0"/>
              <w:snapToGrid w:val="0"/>
              <w:spacing w:line="300" w:lineRule="exact"/>
              <w:jc w:val="center"/>
              <w:rPr>
                <w:sz w:val="21"/>
                <w:szCs w:val="21"/>
              </w:rPr>
            </w:pPr>
            <w:r>
              <w:rPr>
                <w:sz w:val="21"/>
                <w:szCs w:val="21"/>
              </w:rPr>
              <w:t>13</w:t>
            </w:r>
          </w:p>
        </w:tc>
        <w:tc>
          <w:tcPr>
            <w:tcW w:w="3487" w:type="dxa"/>
            <w:vAlign w:val="center"/>
          </w:tcPr>
          <w:p w:rsidR="000F7FAD" w:rsidRDefault="00BB4424">
            <w:pPr>
              <w:adjustRightInd w:val="0"/>
              <w:snapToGrid w:val="0"/>
              <w:spacing w:line="300" w:lineRule="exact"/>
              <w:jc w:val="left"/>
              <w:rPr>
                <w:sz w:val="21"/>
                <w:szCs w:val="21"/>
              </w:rPr>
            </w:pPr>
            <w:r>
              <w:rPr>
                <w:sz w:val="21"/>
                <w:szCs w:val="21"/>
              </w:rPr>
              <w:t>“</w:t>
            </w:r>
            <w:r>
              <w:rPr>
                <w:rFonts w:hAnsi="仿宋_GB2312"/>
                <w:sz w:val="21"/>
                <w:szCs w:val="21"/>
              </w:rPr>
              <w:t>南粤家政</w:t>
            </w:r>
            <w:r>
              <w:rPr>
                <w:sz w:val="21"/>
                <w:szCs w:val="21"/>
              </w:rPr>
              <w:t>”</w:t>
            </w:r>
            <w:r>
              <w:rPr>
                <w:rFonts w:hAnsi="仿宋_GB2312"/>
                <w:sz w:val="21"/>
                <w:szCs w:val="21"/>
              </w:rPr>
              <w:t>培</w:t>
            </w:r>
            <w:r>
              <w:rPr>
                <w:sz w:val="21"/>
                <w:szCs w:val="21"/>
              </w:rPr>
              <w:t>训人次</w:t>
            </w:r>
          </w:p>
        </w:tc>
        <w:tc>
          <w:tcPr>
            <w:tcW w:w="1382" w:type="dxa"/>
            <w:vAlign w:val="center"/>
          </w:tcPr>
          <w:p w:rsidR="000F7FAD" w:rsidRDefault="00BB4424">
            <w:pPr>
              <w:adjustRightInd w:val="0"/>
              <w:snapToGrid w:val="0"/>
              <w:spacing w:line="300" w:lineRule="exact"/>
              <w:jc w:val="center"/>
              <w:rPr>
                <w:sz w:val="21"/>
                <w:szCs w:val="21"/>
              </w:rPr>
            </w:pPr>
            <w:r>
              <w:rPr>
                <w:sz w:val="21"/>
                <w:szCs w:val="21"/>
              </w:rPr>
              <w:t>人次</w:t>
            </w:r>
          </w:p>
        </w:tc>
        <w:tc>
          <w:tcPr>
            <w:tcW w:w="1245" w:type="dxa"/>
            <w:vAlign w:val="center"/>
          </w:tcPr>
          <w:p w:rsidR="000F7FAD" w:rsidRDefault="00BB4424">
            <w:pPr>
              <w:adjustRightInd w:val="0"/>
              <w:snapToGrid w:val="0"/>
              <w:spacing w:line="300" w:lineRule="exact"/>
              <w:jc w:val="center"/>
              <w:rPr>
                <w:sz w:val="21"/>
                <w:szCs w:val="21"/>
              </w:rPr>
            </w:pPr>
            <w:r>
              <w:rPr>
                <w:sz w:val="21"/>
                <w:szCs w:val="21"/>
              </w:rPr>
              <w:t>[26682]</w:t>
            </w:r>
          </w:p>
        </w:tc>
        <w:tc>
          <w:tcPr>
            <w:tcW w:w="1170" w:type="dxa"/>
            <w:vAlign w:val="center"/>
          </w:tcPr>
          <w:p w:rsidR="000F7FAD" w:rsidRDefault="00BB4424">
            <w:pPr>
              <w:adjustRightInd w:val="0"/>
              <w:snapToGrid w:val="0"/>
              <w:spacing w:line="300" w:lineRule="exact"/>
              <w:jc w:val="center"/>
              <w:rPr>
                <w:sz w:val="21"/>
                <w:szCs w:val="21"/>
              </w:rPr>
            </w:pPr>
            <w:r>
              <w:rPr>
                <w:sz w:val="21"/>
                <w:szCs w:val="21"/>
              </w:rPr>
              <w:t>[59000]</w:t>
            </w:r>
          </w:p>
        </w:tc>
        <w:tc>
          <w:tcPr>
            <w:tcW w:w="1168" w:type="dxa"/>
            <w:vAlign w:val="center"/>
          </w:tcPr>
          <w:p w:rsidR="000F7FAD" w:rsidRDefault="00BB4424">
            <w:pPr>
              <w:spacing w:line="300" w:lineRule="exact"/>
              <w:jc w:val="center"/>
              <w:rPr>
                <w:sz w:val="21"/>
                <w:szCs w:val="21"/>
              </w:rPr>
            </w:pPr>
            <w:r>
              <w:rPr>
                <w:sz w:val="21"/>
                <w:szCs w:val="21"/>
              </w:rPr>
              <w:t>预期性</w:t>
            </w:r>
          </w:p>
        </w:tc>
      </w:tr>
      <w:tr w:rsidR="000F7FAD">
        <w:trPr>
          <w:trHeight w:val="510"/>
          <w:jc w:val="center"/>
        </w:trPr>
        <w:tc>
          <w:tcPr>
            <w:tcW w:w="8958" w:type="dxa"/>
            <w:gridSpan w:val="6"/>
            <w:vAlign w:val="center"/>
          </w:tcPr>
          <w:p w:rsidR="000F7FAD" w:rsidRDefault="00BB4424">
            <w:pPr>
              <w:adjustRightInd w:val="0"/>
              <w:snapToGrid w:val="0"/>
              <w:spacing w:line="300" w:lineRule="exact"/>
              <w:jc w:val="left"/>
              <w:rPr>
                <w:rFonts w:eastAsia="黑体"/>
                <w:sz w:val="21"/>
                <w:szCs w:val="21"/>
              </w:rPr>
            </w:pPr>
            <w:r>
              <w:rPr>
                <w:rFonts w:eastAsia="黑体"/>
                <w:sz w:val="21"/>
                <w:szCs w:val="21"/>
              </w:rPr>
              <w:t>四、劳动关系</w:t>
            </w:r>
          </w:p>
        </w:tc>
      </w:tr>
      <w:tr w:rsidR="000F7FAD">
        <w:trPr>
          <w:trHeight w:val="510"/>
          <w:jc w:val="center"/>
        </w:trPr>
        <w:tc>
          <w:tcPr>
            <w:tcW w:w="506" w:type="dxa"/>
            <w:vAlign w:val="center"/>
          </w:tcPr>
          <w:p w:rsidR="000F7FAD" w:rsidRDefault="00BB4424">
            <w:pPr>
              <w:adjustRightInd w:val="0"/>
              <w:snapToGrid w:val="0"/>
              <w:spacing w:line="300" w:lineRule="exact"/>
              <w:jc w:val="center"/>
              <w:rPr>
                <w:sz w:val="21"/>
                <w:szCs w:val="21"/>
              </w:rPr>
            </w:pPr>
            <w:r>
              <w:rPr>
                <w:rFonts w:hint="eastAsia"/>
                <w:sz w:val="21"/>
                <w:szCs w:val="21"/>
              </w:rPr>
              <w:t>14</w:t>
            </w:r>
          </w:p>
        </w:tc>
        <w:tc>
          <w:tcPr>
            <w:tcW w:w="3487" w:type="dxa"/>
            <w:vAlign w:val="center"/>
          </w:tcPr>
          <w:p w:rsidR="000F7FAD" w:rsidRDefault="00BB4424">
            <w:pPr>
              <w:adjustRightInd w:val="0"/>
              <w:snapToGrid w:val="0"/>
              <w:spacing w:line="300" w:lineRule="exact"/>
              <w:jc w:val="left"/>
              <w:rPr>
                <w:sz w:val="21"/>
                <w:szCs w:val="21"/>
              </w:rPr>
            </w:pPr>
            <w:r>
              <w:rPr>
                <w:sz w:val="21"/>
                <w:szCs w:val="21"/>
              </w:rPr>
              <w:t>劳动人事争议调解成功率</w:t>
            </w:r>
          </w:p>
        </w:tc>
        <w:tc>
          <w:tcPr>
            <w:tcW w:w="1382" w:type="dxa"/>
            <w:vAlign w:val="center"/>
          </w:tcPr>
          <w:p w:rsidR="000F7FAD" w:rsidRDefault="00BB4424">
            <w:pPr>
              <w:adjustRightInd w:val="0"/>
              <w:snapToGrid w:val="0"/>
              <w:spacing w:line="300" w:lineRule="exact"/>
              <w:jc w:val="center"/>
              <w:rPr>
                <w:sz w:val="21"/>
                <w:szCs w:val="21"/>
              </w:rPr>
            </w:pPr>
            <w:r>
              <w:rPr>
                <w:sz w:val="21"/>
                <w:szCs w:val="21"/>
              </w:rPr>
              <w:t>%</w:t>
            </w:r>
          </w:p>
        </w:tc>
        <w:tc>
          <w:tcPr>
            <w:tcW w:w="1245" w:type="dxa"/>
            <w:vAlign w:val="center"/>
          </w:tcPr>
          <w:p w:rsidR="000F7FAD" w:rsidRDefault="00BB4424">
            <w:pPr>
              <w:adjustRightInd w:val="0"/>
              <w:snapToGrid w:val="0"/>
              <w:spacing w:line="300" w:lineRule="exact"/>
              <w:jc w:val="center"/>
              <w:rPr>
                <w:sz w:val="21"/>
                <w:szCs w:val="21"/>
              </w:rPr>
            </w:pPr>
            <w:r>
              <w:rPr>
                <w:sz w:val="21"/>
                <w:szCs w:val="21"/>
              </w:rPr>
              <w:t>77.37</w:t>
            </w:r>
          </w:p>
        </w:tc>
        <w:tc>
          <w:tcPr>
            <w:tcW w:w="1170" w:type="dxa"/>
            <w:vAlign w:val="center"/>
          </w:tcPr>
          <w:p w:rsidR="000F7FAD" w:rsidRDefault="00BB4424">
            <w:pPr>
              <w:adjustRightInd w:val="0"/>
              <w:snapToGrid w:val="0"/>
              <w:spacing w:line="300" w:lineRule="exact"/>
              <w:jc w:val="center"/>
              <w:rPr>
                <w:sz w:val="21"/>
                <w:szCs w:val="21"/>
              </w:rPr>
            </w:pPr>
            <w:r>
              <w:rPr>
                <w:sz w:val="21"/>
                <w:szCs w:val="21"/>
              </w:rPr>
              <w:t>&gt;7</w:t>
            </w:r>
            <w:r>
              <w:rPr>
                <w:rFonts w:hint="eastAsia"/>
                <w:sz w:val="21"/>
                <w:szCs w:val="21"/>
              </w:rPr>
              <w:t>8</w:t>
            </w:r>
          </w:p>
        </w:tc>
        <w:tc>
          <w:tcPr>
            <w:tcW w:w="1168" w:type="dxa"/>
            <w:vAlign w:val="center"/>
          </w:tcPr>
          <w:p w:rsidR="000F7FAD" w:rsidRDefault="00BB4424">
            <w:pPr>
              <w:spacing w:line="300" w:lineRule="exact"/>
              <w:jc w:val="center"/>
              <w:rPr>
                <w:sz w:val="21"/>
                <w:szCs w:val="21"/>
              </w:rPr>
            </w:pPr>
            <w:r>
              <w:rPr>
                <w:sz w:val="21"/>
                <w:szCs w:val="21"/>
              </w:rPr>
              <w:t>预期性</w:t>
            </w:r>
          </w:p>
        </w:tc>
      </w:tr>
      <w:tr w:rsidR="000F7FAD">
        <w:trPr>
          <w:trHeight w:val="510"/>
          <w:jc w:val="center"/>
        </w:trPr>
        <w:tc>
          <w:tcPr>
            <w:tcW w:w="506" w:type="dxa"/>
            <w:vAlign w:val="center"/>
          </w:tcPr>
          <w:p w:rsidR="000F7FAD" w:rsidRDefault="00BB4424">
            <w:pPr>
              <w:adjustRightInd w:val="0"/>
              <w:snapToGrid w:val="0"/>
              <w:spacing w:line="300" w:lineRule="exact"/>
              <w:jc w:val="center"/>
              <w:rPr>
                <w:sz w:val="21"/>
                <w:szCs w:val="21"/>
              </w:rPr>
            </w:pPr>
            <w:r>
              <w:rPr>
                <w:sz w:val="21"/>
                <w:szCs w:val="21"/>
              </w:rPr>
              <w:t>1</w:t>
            </w:r>
            <w:r>
              <w:rPr>
                <w:rFonts w:hint="eastAsia"/>
                <w:sz w:val="21"/>
                <w:szCs w:val="21"/>
              </w:rPr>
              <w:t>5</w:t>
            </w:r>
          </w:p>
        </w:tc>
        <w:tc>
          <w:tcPr>
            <w:tcW w:w="3487" w:type="dxa"/>
            <w:vAlign w:val="center"/>
          </w:tcPr>
          <w:p w:rsidR="000F7FAD" w:rsidRDefault="00BB4424">
            <w:pPr>
              <w:adjustRightInd w:val="0"/>
              <w:snapToGrid w:val="0"/>
              <w:spacing w:line="300" w:lineRule="exact"/>
              <w:jc w:val="left"/>
              <w:rPr>
                <w:sz w:val="21"/>
                <w:szCs w:val="21"/>
              </w:rPr>
            </w:pPr>
            <w:r>
              <w:rPr>
                <w:sz w:val="21"/>
                <w:szCs w:val="21"/>
              </w:rPr>
              <w:t>劳动人事争议仲裁结案率</w:t>
            </w:r>
          </w:p>
        </w:tc>
        <w:tc>
          <w:tcPr>
            <w:tcW w:w="1382" w:type="dxa"/>
            <w:vAlign w:val="center"/>
          </w:tcPr>
          <w:p w:rsidR="000F7FAD" w:rsidRDefault="00BB4424">
            <w:pPr>
              <w:adjustRightInd w:val="0"/>
              <w:snapToGrid w:val="0"/>
              <w:spacing w:line="300" w:lineRule="exact"/>
              <w:jc w:val="center"/>
              <w:rPr>
                <w:sz w:val="21"/>
                <w:szCs w:val="21"/>
              </w:rPr>
            </w:pPr>
            <w:r>
              <w:rPr>
                <w:sz w:val="21"/>
                <w:szCs w:val="21"/>
              </w:rPr>
              <w:t>%</w:t>
            </w:r>
          </w:p>
        </w:tc>
        <w:tc>
          <w:tcPr>
            <w:tcW w:w="1245" w:type="dxa"/>
            <w:vAlign w:val="center"/>
          </w:tcPr>
          <w:p w:rsidR="000F7FAD" w:rsidRDefault="00BB4424">
            <w:pPr>
              <w:adjustRightInd w:val="0"/>
              <w:snapToGrid w:val="0"/>
              <w:spacing w:line="300" w:lineRule="exact"/>
              <w:jc w:val="center"/>
              <w:rPr>
                <w:sz w:val="21"/>
                <w:szCs w:val="21"/>
              </w:rPr>
            </w:pPr>
            <w:r>
              <w:rPr>
                <w:sz w:val="21"/>
                <w:szCs w:val="21"/>
              </w:rPr>
              <w:t>96</w:t>
            </w:r>
          </w:p>
        </w:tc>
        <w:tc>
          <w:tcPr>
            <w:tcW w:w="1170" w:type="dxa"/>
            <w:vAlign w:val="center"/>
          </w:tcPr>
          <w:p w:rsidR="000F7FAD" w:rsidRDefault="00BB4424">
            <w:pPr>
              <w:adjustRightInd w:val="0"/>
              <w:snapToGrid w:val="0"/>
              <w:spacing w:line="300" w:lineRule="exact"/>
              <w:jc w:val="center"/>
              <w:rPr>
                <w:sz w:val="21"/>
                <w:szCs w:val="21"/>
              </w:rPr>
            </w:pPr>
            <w:r>
              <w:rPr>
                <w:sz w:val="21"/>
                <w:szCs w:val="21"/>
              </w:rPr>
              <w:t>&gt;9</w:t>
            </w:r>
            <w:r>
              <w:rPr>
                <w:rFonts w:hint="eastAsia"/>
                <w:sz w:val="21"/>
                <w:szCs w:val="21"/>
              </w:rPr>
              <w:t>6</w:t>
            </w:r>
          </w:p>
        </w:tc>
        <w:tc>
          <w:tcPr>
            <w:tcW w:w="1168" w:type="dxa"/>
            <w:vAlign w:val="center"/>
          </w:tcPr>
          <w:p w:rsidR="000F7FAD" w:rsidRDefault="00BB4424">
            <w:pPr>
              <w:spacing w:line="300" w:lineRule="exact"/>
              <w:jc w:val="center"/>
              <w:rPr>
                <w:sz w:val="21"/>
                <w:szCs w:val="21"/>
              </w:rPr>
            </w:pPr>
            <w:r>
              <w:rPr>
                <w:sz w:val="21"/>
                <w:szCs w:val="21"/>
              </w:rPr>
              <w:t>预期性</w:t>
            </w:r>
          </w:p>
        </w:tc>
      </w:tr>
      <w:tr w:rsidR="000F7FAD">
        <w:trPr>
          <w:trHeight w:val="510"/>
          <w:jc w:val="center"/>
        </w:trPr>
        <w:tc>
          <w:tcPr>
            <w:tcW w:w="506" w:type="dxa"/>
            <w:vAlign w:val="center"/>
          </w:tcPr>
          <w:p w:rsidR="000F7FAD" w:rsidRDefault="00BB4424">
            <w:pPr>
              <w:adjustRightInd w:val="0"/>
              <w:snapToGrid w:val="0"/>
              <w:spacing w:line="300" w:lineRule="exact"/>
              <w:jc w:val="center"/>
              <w:rPr>
                <w:sz w:val="21"/>
                <w:szCs w:val="21"/>
              </w:rPr>
            </w:pPr>
            <w:r>
              <w:rPr>
                <w:sz w:val="21"/>
                <w:szCs w:val="21"/>
              </w:rPr>
              <w:t>1</w:t>
            </w:r>
            <w:r>
              <w:rPr>
                <w:rFonts w:hint="eastAsia"/>
                <w:sz w:val="21"/>
                <w:szCs w:val="21"/>
              </w:rPr>
              <w:t>6</w:t>
            </w:r>
          </w:p>
        </w:tc>
        <w:tc>
          <w:tcPr>
            <w:tcW w:w="3487" w:type="dxa"/>
            <w:vAlign w:val="center"/>
          </w:tcPr>
          <w:p w:rsidR="000F7FAD" w:rsidRDefault="00BB4424">
            <w:pPr>
              <w:adjustRightInd w:val="0"/>
              <w:snapToGrid w:val="0"/>
              <w:spacing w:line="300" w:lineRule="exact"/>
              <w:jc w:val="left"/>
              <w:rPr>
                <w:sz w:val="21"/>
                <w:szCs w:val="21"/>
              </w:rPr>
            </w:pPr>
            <w:r>
              <w:rPr>
                <w:sz w:val="21"/>
                <w:szCs w:val="21"/>
              </w:rPr>
              <w:t>劳动保障监察举报投诉案件结案率</w:t>
            </w:r>
          </w:p>
        </w:tc>
        <w:tc>
          <w:tcPr>
            <w:tcW w:w="1382" w:type="dxa"/>
            <w:vAlign w:val="center"/>
          </w:tcPr>
          <w:p w:rsidR="000F7FAD" w:rsidRDefault="00BB4424">
            <w:pPr>
              <w:adjustRightInd w:val="0"/>
              <w:snapToGrid w:val="0"/>
              <w:spacing w:line="300" w:lineRule="exact"/>
              <w:jc w:val="center"/>
              <w:rPr>
                <w:sz w:val="21"/>
                <w:szCs w:val="21"/>
              </w:rPr>
            </w:pPr>
            <w:r>
              <w:rPr>
                <w:sz w:val="21"/>
                <w:szCs w:val="21"/>
              </w:rPr>
              <w:t>%</w:t>
            </w:r>
          </w:p>
        </w:tc>
        <w:tc>
          <w:tcPr>
            <w:tcW w:w="1245" w:type="dxa"/>
            <w:vAlign w:val="center"/>
          </w:tcPr>
          <w:p w:rsidR="000F7FAD" w:rsidRDefault="00BB4424">
            <w:pPr>
              <w:adjustRightInd w:val="0"/>
              <w:snapToGrid w:val="0"/>
              <w:spacing w:line="300" w:lineRule="exact"/>
              <w:jc w:val="center"/>
              <w:rPr>
                <w:sz w:val="21"/>
                <w:szCs w:val="21"/>
              </w:rPr>
            </w:pPr>
            <w:r>
              <w:rPr>
                <w:sz w:val="21"/>
                <w:szCs w:val="21"/>
              </w:rPr>
              <w:t>100</w:t>
            </w:r>
          </w:p>
        </w:tc>
        <w:tc>
          <w:tcPr>
            <w:tcW w:w="1170" w:type="dxa"/>
            <w:vAlign w:val="center"/>
          </w:tcPr>
          <w:p w:rsidR="000F7FAD" w:rsidRDefault="00BB4424">
            <w:pPr>
              <w:adjustRightInd w:val="0"/>
              <w:snapToGrid w:val="0"/>
              <w:spacing w:line="300" w:lineRule="exact"/>
              <w:jc w:val="center"/>
              <w:rPr>
                <w:sz w:val="21"/>
                <w:szCs w:val="21"/>
              </w:rPr>
            </w:pPr>
            <w:r>
              <w:rPr>
                <w:rFonts w:hint="eastAsia"/>
                <w:sz w:val="21"/>
                <w:szCs w:val="21"/>
              </w:rPr>
              <w:t>100</w:t>
            </w:r>
          </w:p>
        </w:tc>
        <w:tc>
          <w:tcPr>
            <w:tcW w:w="1168" w:type="dxa"/>
            <w:vAlign w:val="center"/>
          </w:tcPr>
          <w:p w:rsidR="000F7FAD" w:rsidRDefault="00BB4424">
            <w:pPr>
              <w:spacing w:line="300" w:lineRule="exact"/>
              <w:jc w:val="center"/>
            </w:pPr>
            <w:r>
              <w:rPr>
                <w:sz w:val="21"/>
                <w:szCs w:val="21"/>
              </w:rPr>
              <w:t>预期性</w:t>
            </w:r>
          </w:p>
        </w:tc>
      </w:tr>
    </w:tbl>
    <w:p w:rsidR="000F7FAD" w:rsidRDefault="00BB4424">
      <w:pPr>
        <w:ind w:firstLine="420"/>
        <w:rPr>
          <w:sz w:val="21"/>
          <w:szCs w:val="21"/>
        </w:rPr>
      </w:pPr>
      <w:r>
        <w:rPr>
          <w:sz w:val="21"/>
          <w:szCs w:val="21"/>
        </w:rPr>
        <w:t>注：</w:t>
      </w:r>
      <w:r>
        <w:rPr>
          <w:sz w:val="21"/>
          <w:szCs w:val="21"/>
        </w:rPr>
        <w:t>[  ]</w:t>
      </w:r>
      <w:r>
        <w:rPr>
          <w:sz w:val="21"/>
          <w:szCs w:val="21"/>
        </w:rPr>
        <w:t>内为五年累计数。</w:t>
      </w:r>
    </w:p>
    <w:p w:rsidR="000F7FAD" w:rsidRDefault="00BB4424">
      <w:pPr>
        <w:pStyle w:val="1"/>
        <w:rPr>
          <w:rFonts w:ascii="Times New Roman" w:hAnsi="Times New Roman"/>
        </w:rPr>
      </w:pPr>
      <w:bookmarkStart w:id="16" w:name="_Toc30075"/>
      <w:bookmarkStart w:id="17" w:name="_Toc4531"/>
      <w:r>
        <w:rPr>
          <w:rFonts w:ascii="Times New Roman"/>
        </w:rPr>
        <w:lastRenderedPageBreak/>
        <w:t>第三章</w:t>
      </w:r>
      <w:r>
        <w:rPr>
          <w:rFonts w:ascii="Times New Roman" w:hAnsi="Times New Roman"/>
        </w:rPr>
        <w:t xml:space="preserve">  </w:t>
      </w:r>
      <w:r>
        <w:rPr>
          <w:rFonts w:ascii="Times New Roman"/>
        </w:rPr>
        <w:t>强化就业优先政策</w:t>
      </w:r>
      <w:r>
        <w:rPr>
          <w:rFonts w:ascii="Times New Roman" w:hAnsi="Times New Roman"/>
        </w:rPr>
        <w:t xml:space="preserve">  </w:t>
      </w:r>
      <w:r>
        <w:rPr>
          <w:rFonts w:ascii="Times New Roman"/>
        </w:rPr>
        <w:t>推动实现更加充分更高质量就业</w:t>
      </w:r>
      <w:bookmarkEnd w:id="16"/>
      <w:bookmarkEnd w:id="17"/>
    </w:p>
    <w:p w:rsidR="000F7FAD" w:rsidRDefault="00BB4424">
      <w:pPr>
        <w:topLinePunct/>
        <w:autoSpaceDE w:val="0"/>
        <w:autoSpaceDN w:val="0"/>
        <w:snapToGrid w:val="0"/>
        <w:spacing w:line="600" w:lineRule="exact"/>
        <w:ind w:firstLineChars="200" w:firstLine="640"/>
        <w:rPr>
          <w:sz w:val="32"/>
          <w:szCs w:val="32"/>
        </w:rPr>
      </w:pPr>
      <w:r>
        <w:rPr>
          <w:sz w:val="32"/>
          <w:szCs w:val="32"/>
        </w:rPr>
        <w:t>完善重点群体就业支持体系和促进创业带动就业、多渠道</w:t>
      </w:r>
      <w:r>
        <w:rPr>
          <w:rFonts w:hint="eastAsia"/>
          <w:sz w:val="32"/>
          <w:szCs w:val="32"/>
        </w:rPr>
        <w:t>灵活就业的保障制度，强化全方位公共就业服务，有效防范化解失业风险，确保就业形势总体稳定。</w:t>
      </w:r>
    </w:p>
    <w:p w:rsidR="000F7FAD" w:rsidRDefault="00BB4424">
      <w:pPr>
        <w:pStyle w:val="20"/>
      </w:pPr>
      <w:bookmarkStart w:id="18" w:name="_Toc21916"/>
      <w:bookmarkStart w:id="19" w:name="_Toc21292"/>
      <w:r>
        <w:rPr>
          <w:rFonts w:hint="eastAsia"/>
        </w:rPr>
        <w:t>第一节</w:t>
      </w:r>
      <w:r>
        <w:rPr>
          <w:rFonts w:hint="eastAsia"/>
        </w:rPr>
        <w:t xml:space="preserve"> </w:t>
      </w:r>
      <w:r>
        <w:t xml:space="preserve"> </w:t>
      </w:r>
      <w:r>
        <w:rPr>
          <w:rFonts w:hint="eastAsia"/>
        </w:rPr>
        <w:t>完善就业优先政策体系</w:t>
      </w:r>
      <w:bookmarkEnd w:id="18"/>
      <w:bookmarkEnd w:id="19"/>
    </w:p>
    <w:p w:rsidR="000F7FAD" w:rsidRDefault="00BB4424">
      <w:pPr>
        <w:topLinePunct/>
        <w:autoSpaceDE w:val="0"/>
        <w:autoSpaceDN w:val="0"/>
        <w:snapToGrid w:val="0"/>
        <w:spacing w:line="580" w:lineRule="exact"/>
        <w:ind w:firstLineChars="200" w:firstLine="640"/>
        <w:rPr>
          <w:sz w:val="32"/>
          <w:szCs w:val="32"/>
        </w:rPr>
      </w:pPr>
      <w:r>
        <w:rPr>
          <w:rFonts w:ascii="楷体_GB2312" w:eastAsia="楷体_GB2312" w:hint="eastAsia"/>
          <w:sz w:val="32"/>
          <w:szCs w:val="32"/>
        </w:rPr>
        <w:t>完善促进就业工作机制。</w:t>
      </w:r>
      <w:r>
        <w:rPr>
          <w:rFonts w:hint="eastAsia"/>
          <w:sz w:val="32"/>
          <w:szCs w:val="32"/>
        </w:rPr>
        <w:t>坚持经济发展就业导向，</w:t>
      </w:r>
      <w:r>
        <w:rPr>
          <w:rFonts w:hint="eastAsia"/>
          <w:sz w:val="32"/>
          <w:szCs w:val="32"/>
        </w:rPr>
        <w:t>把稳定和扩大就业作为经济社会发展优先目标和宏观调控下限，扩大就业容量，提升就业质量和就业植根性，促进充分就业。</w:t>
      </w:r>
      <w:r>
        <w:rPr>
          <w:sz w:val="32"/>
          <w:szCs w:val="32"/>
        </w:rPr>
        <w:t>支持和规范发展新就业形态，促进全民多渠道、更充分、更灵活就业创业</w:t>
      </w:r>
      <w:r>
        <w:rPr>
          <w:rFonts w:hint="eastAsia"/>
          <w:sz w:val="32"/>
          <w:szCs w:val="32"/>
        </w:rPr>
        <w:t>。发挥市就业工作领导小组作用，落实就业工作目标责任制，强化就业工作统筹联动。强化就业影响评估，实现经济增长与扩大就业良性互动。</w:t>
      </w:r>
    </w:p>
    <w:p w:rsidR="000F7FAD" w:rsidRDefault="00BB4424">
      <w:pPr>
        <w:topLinePunct/>
        <w:autoSpaceDE w:val="0"/>
        <w:autoSpaceDN w:val="0"/>
        <w:snapToGrid w:val="0"/>
        <w:spacing w:line="580" w:lineRule="exact"/>
        <w:ind w:firstLineChars="200" w:firstLine="640"/>
        <w:rPr>
          <w:sz w:val="32"/>
          <w:szCs w:val="32"/>
        </w:rPr>
      </w:pPr>
      <w:r>
        <w:rPr>
          <w:rFonts w:ascii="楷体_GB2312" w:eastAsia="楷体_GB2312" w:hint="eastAsia"/>
          <w:sz w:val="32"/>
          <w:szCs w:val="32"/>
        </w:rPr>
        <w:t>实施更加积极的就业政策。</w:t>
      </w:r>
      <w:r>
        <w:rPr>
          <w:rFonts w:hint="eastAsia"/>
          <w:sz w:val="32"/>
          <w:szCs w:val="32"/>
        </w:rPr>
        <w:t>强化高校毕业生、就业困难人员、残疾人、退役军人等重点群体政策支持，拓宽市场化社会化就业渠道。支持多渠道灵活就业和共享用工，探索建立与新就业形态相适应的服务模式和制度供给。健全创业政策支持体系，完善创业贷款贴息、创业培训补贴、场地租金补贴等优惠政策。完善港澳居民就业服务政策体系，推动在莞工作生活的港澳居民享受高效优质服务。</w:t>
      </w:r>
    </w:p>
    <w:p w:rsidR="000F7FAD" w:rsidRDefault="00BB4424">
      <w:pPr>
        <w:topLinePunct/>
        <w:autoSpaceDE w:val="0"/>
        <w:autoSpaceDN w:val="0"/>
        <w:snapToGrid w:val="0"/>
        <w:spacing w:line="580" w:lineRule="exact"/>
        <w:ind w:firstLineChars="200" w:firstLine="640"/>
        <w:rPr>
          <w:rFonts w:eastAsia="宋体"/>
          <w:sz w:val="32"/>
          <w:szCs w:val="32"/>
        </w:rPr>
      </w:pPr>
      <w:r>
        <w:rPr>
          <w:rFonts w:ascii="楷体_GB2312" w:eastAsia="楷体_GB2312" w:hint="eastAsia"/>
          <w:sz w:val="32"/>
          <w:szCs w:val="32"/>
        </w:rPr>
        <w:t>全力防范化解失业风险。</w:t>
      </w:r>
      <w:r>
        <w:rPr>
          <w:rFonts w:hint="eastAsia"/>
          <w:sz w:val="32"/>
          <w:szCs w:val="32"/>
        </w:rPr>
        <w:t>加强就业信息监</w:t>
      </w:r>
      <w:r>
        <w:rPr>
          <w:rFonts w:hint="eastAsia"/>
          <w:sz w:val="32"/>
          <w:szCs w:val="32"/>
        </w:rPr>
        <w:t>测平台和就业信</w:t>
      </w:r>
      <w:r>
        <w:rPr>
          <w:rFonts w:hint="eastAsia"/>
          <w:sz w:val="32"/>
          <w:szCs w:val="32"/>
        </w:rPr>
        <w:lastRenderedPageBreak/>
        <w:t>息公共服务平台建设，提供更加精准的政策匹配、岗位推介服务。完善失业预警监测机制，做好失业风险应对预案，加强政策储备、岗位储备，防范规模性失业风险。加强失业保障，及时兑现失业保险待遇，对生活困难的失业人员，及时纳入最低生活保障和临时救助等范围。</w:t>
      </w:r>
    </w:p>
    <w:tbl>
      <w:tblPr>
        <w:tblW w:w="83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33"/>
      </w:tblGrid>
      <w:tr w:rsidR="000F7FAD" w:rsidTr="006110A6">
        <w:trPr>
          <w:jc w:val="center"/>
        </w:trPr>
        <w:tc>
          <w:tcPr>
            <w:tcW w:w="8333" w:type="dxa"/>
            <w:vAlign w:val="center"/>
          </w:tcPr>
          <w:p w:rsidR="000F7FAD" w:rsidRDefault="00BB4424">
            <w:pPr>
              <w:adjustRightInd w:val="0"/>
              <w:snapToGrid w:val="0"/>
              <w:spacing w:line="480" w:lineRule="exact"/>
              <w:jc w:val="center"/>
              <w:rPr>
                <w:rFonts w:eastAsia="黑体"/>
                <w:szCs w:val="30"/>
              </w:rPr>
            </w:pPr>
            <w:r>
              <w:rPr>
                <w:rFonts w:eastAsia="黑体"/>
                <w:szCs w:val="30"/>
              </w:rPr>
              <w:t>专栏</w:t>
            </w:r>
            <w:r>
              <w:rPr>
                <w:rFonts w:eastAsia="黑体"/>
                <w:szCs w:val="30"/>
              </w:rPr>
              <w:t xml:space="preserve">3  </w:t>
            </w:r>
            <w:r>
              <w:rPr>
                <w:rFonts w:eastAsia="黑体" w:hint="eastAsia"/>
                <w:szCs w:val="30"/>
              </w:rPr>
              <w:t>推动实现更加充分更高质量就业</w:t>
            </w:r>
            <w:r>
              <w:rPr>
                <w:rFonts w:eastAsia="黑体"/>
                <w:szCs w:val="30"/>
              </w:rPr>
              <w:t>专项行动</w:t>
            </w:r>
          </w:p>
        </w:tc>
      </w:tr>
      <w:tr w:rsidR="000F7FAD" w:rsidTr="006110A6">
        <w:trPr>
          <w:trHeight w:val="495"/>
          <w:jc w:val="center"/>
        </w:trPr>
        <w:tc>
          <w:tcPr>
            <w:tcW w:w="8333" w:type="dxa"/>
            <w:vAlign w:val="center"/>
          </w:tcPr>
          <w:p w:rsidR="000F7FAD" w:rsidRDefault="00BB4424">
            <w:pPr>
              <w:spacing w:line="400" w:lineRule="exact"/>
              <w:ind w:firstLineChars="200" w:firstLine="482"/>
              <w:rPr>
                <w:sz w:val="24"/>
              </w:rPr>
            </w:pPr>
            <w:r>
              <w:rPr>
                <w:b/>
                <w:sz w:val="24"/>
              </w:rPr>
              <w:t>1</w:t>
            </w:r>
            <w:r>
              <w:rPr>
                <w:rFonts w:hint="eastAsia"/>
                <w:b/>
                <w:sz w:val="24"/>
              </w:rPr>
              <w:t>.</w:t>
            </w:r>
            <w:r>
              <w:rPr>
                <w:rFonts w:hint="eastAsia"/>
                <w:b/>
                <w:sz w:val="24"/>
              </w:rPr>
              <w:t>引导树立</w:t>
            </w:r>
            <w:r>
              <w:rPr>
                <w:b/>
                <w:sz w:val="24"/>
              </w:rPr>
              <w:t>正确就业观。</w:t>
            </w:r>
            <w:r>
              <w:rPr>
                <w:rFonts w:hint="eastAsia"/>
                <w:bCs/>
                <w:sz w:val="24"/>
              </w:rPr>
              <w:t>建立职业指导讲师团，发挥院校、机构、行业协会、公益社团以及企业人力资源经理等各方力量，开展线上线下职业指导“进校园、进社区、进园区”活动，提供</w:t>
            </w:r>
            <w:r>
              <w:rPr>
                <w:bCs/>
                <w:sz w:val="24"/>
              </w:rPr>
              <w:t>职业</w:t>
            </w:r>
            <w:r>
              <w:rPr>
                <w:sz w:val="24"/>
              </w:rPr>
              <w:t>指导</w:t>
            </w:r>
            <w:r>
              <w:rPr>
                <w:rFonts w:hint="eastAsia"/>
                <w:sz w:val="24"/>
              </w:rPr>
              <w:t>、职业规划、就业指导、创业指导</w:t>
            </w:r>
            <w:r>
              <w:rPr>
                <w:rFonts w:hint="eastAsia"/>
                <w:sz w:val="24"/>
              </w:rPr>
              <w:t>等服务，引导树立正确的</w:t>
            </w:r>
            <w:r>
              <w:rPr>
                <w:sz w:val="24"/>
              </w:rPr>
              <w:t>就业观职业观择业观</w:t>
            </w:r>
            <w:r>
              <w:rPr>
                <w:rFonts w:hint="eastAsia"/>
                <w:sz w:val="24"/>
              </w:rPr>
              <w:t>。</w:t>
            </w:r>
          </w:p>
          <w:p w:rsidR="000F7FAD" w:rsidRDefault="00BB4424">
            <w:pPr>
              <w:spacing w:line="400" w:lineRule="exact"/>
              <w:ind w:firstLineChars="200" w:firstLine="482"/>
              <w:rPr>
                <w:sz w:val="24"/>
              </w:rPr>
            </w:pPr>
            <w:r>
              <w:rPr>
                <w:b/>
                <w:sz w:val="24"/>
              </w:rPr>
              <w:t>2.</w:t>
            </w:r>
            <w:r>
              <w:rPr>
                <w:rFonts w:hint="eastAsia"/>
                <w:b/>
                <w:sz w:val="24"/>
              </w:rPr>
              <w:t>提升</w:t>
            </w:r>
            <w:r>
              <w:rPr>
                <w:b/>
                <w:sz w:val="24"/>
              </w:rPr>
              <w:t>就业创业能力。</w:t>
            </w:r>
            <w:r>
              <w:rPr>
                <w:sz w:val="24"/>
              </w:rPr>
              <w:t>发挥高技能公共实训中心、技工院校、培训机构等平台作用，面向高校毕业生</w:t>
            </w:r>
            <w:r>
              <w:rPr>
                <w:rFonts w:hint="eastAsia"/>
                <w:sz w:val="24"/>
              </w:rPr>
              <w:t>、就业困难人员</w:t>
            </w:r>
            <w:r>
              <w:rPr>
                <w:sz w:val="24"/>
              </w:rPr>
              <w:t>等重点群体开展技能培训，</w:t>
            </w:r>
            <w:r>
              <w:rPr>
                <w:rFonts w:hint="eastAsia"/>
                <w:sz w:val="24"/>
              </w:rPr>
              <w:t>开展各类补贴性职业技能培训</w:t>
            </w:r>
            <w:r>
              <w:rPr>
                <w:rFonts w:hint="eastAsia"/>
                <w:sz w:val="24"/>
              </w:rPr>
              <w:t>100</w:t>
            </w:r>
            <w:r>
              <w:rPr>
                <w:rFonts w:hint="eastAsia"/>
                <w:sz w:val="24"/>
              </w:rPr>
              <w:t>万人次</w:t>
            </w:r>
            <w:r>
              <w:rPr>
                <w:sz w:val="24"/>
              </w:rPr>
              <w:t>。</w:t>
            </w:r>
          </w:p>
          <w:p w:rsidR="000F7FAD" w:rsidRDefault="00BB4424">
            <w:pPr>
              <w:spacing w:line="400" w:lineRule="exact"/>
              <w:ind w:firstLineChars="200" w:firstLine="482"/>
              <w:rPr>
                <w:sz w:val="24"/>
              </w:rPr>
            </w:pPr>
            <w:r>
              <w:rPr>
                <w:b/>
                <w:sz w:val="24"/>
              </w:rPr>
              <w:t>3.</w:t>
            </w:r>
            <w:r>
              <w:rPr>
                <w:rFonts w:hint="eastAsia"/>
                <w:b/>
                <w:sz w:val="24"/>
              </w:rPr>
              <w:t>完善</w:t>
            </w:r>
            <w:r>
              <w:rPr>
                <w:b/>
                <w:sz w:val="24"/>
              </w:rPr>
              <w:t>就业优先政策。</w:t>
            </w:r>
            <w:r>
              <w:rPr>
                <w:sz w:val="24"/>
              </w:rPr>
              <w:t>发挥市就业工作领导小组作用，健全经济发展与就业创业联动机制。</w:t>
            </w:r>
            <w:r>
              <w:rPr>
                <w:rFonts w:hint="eastAsia"/>
                <w:sz w:val="24"/>
              </w:rPr>
              <w:t>实施</w:t>
            </w:r>
            <w:r>
              <w:rPr>
                <w:rFonts w:hint="eastAsia"/>
                <w:sz w:val="24"/>
              </w:rPr>
              <w:t>3.0</w:t>
            </w:r>
            <w:r>
              <w:rPr>
                <w:rFonts w:hint="eastAsia"/>
                <w:sz w:val="24"/>
              </w:rPr>
              <w:t>“促进就业九条”，根据就业形势变化，及时调整完善政策体系。</w:t>
            </w:r>
            <w:r>
              <w:rPr>
                <w:sz w:val="24"/>
              </w:rPr>
              <w:t>加强新就业形态变化的研究和应对，健全就业失业监测研判机制，提升防范应对失业风险能力。</w:t>
            </w:r>
          </w:p>
          <w:p w:rsidR="000F7FAD" w:rsidRDefault="00BB4424">
            <w:pPr>
              <w:spacing w:line="400" w:lineRule="exact"/>
              <w:ind w:firstLineChars="200" w:firstLine="482"/>
              <w:rPr>
                <w:sz w:val="24"/>
              </w:rPr>
            </w:pPr>
            <w:r>
              <w:rPr>
                <w:b/>
                <w:sz w:val="24"/>
              </w:rPr>
              <w:t>4.</w:t>
            </w:r>
            <w:r>
              <w:rPr>
                <w:rFonts w:hint="eastAsia"/>
                <w:b/>
                <w:sz w:val="24"/>
              </w:rPr>
              <w:t>升级</w:t>
            </w:r>
            <w:r>
              <w:rPr>
                <w:b/>
                <w:sz w:val="24"/>
              </w:rPr>
              <w:t>就业服务平台。</w:t>
            </w:r>
            <w:r>
              <w:rPr>
                <w:rFonts w:hint="eastAsia"/>
                <w:bCs/>
                <w:sz w:val="24"/>
              </w:rPr>
              <w:t>完善</w:t>
            </w:r>
            <w:r>
              <w:rPr>
                <w:rFonts w:hint="eastAsia"/>
                <w:sz w:val="24"/>
              </w:rPr>
              <w:t>基层公共就业创业服务平台功能，开展公</w:t>
            </w:r>
            <w:r>
              <w:rPr>
                <w:rFonts w:hint="eastAsia"/>
                <w:sz w:val="24"/>
              </w:rPr>
              <w:t>共就业服务人员队伍培训，持续优化服务流程，提升服务标准化、专业化、智能化水平。</w:t>
            </w:r>
          </w:p>
          <w:p w:rsidR="000F7FAD" w:rsidRDefault="00BB4424">
            <w:pPr>
              <w:spacing w:line="400" w:lineRule="exact"/>
              <w:ind w:firstLineChars="200" w:firstLine="482"/>
              <w:rPr>
                <w:sz w:val="24"/>
              </w:rPr>
            </w:pPr>
            <w:r>
              <w:rPr>
                <w:b/>
                <w:sz w:val="24"/>
              </w:rPr>
              <w:t>5.</w:t>
            </w:r>
            <w:r>
              <w:rPr>
                <w:rFonts w:hint="eastAsia"/>
                <w:b/>
                <w:sz w:val="24"/>
              </w:rPr>
              <w:t>打造</w:t>
            </w:r>
            <w:r>
              <w:rPr>
                <w:b/>
                <w:sz w:val="24"/>
              </w:rPr>
              <w:t>就业服务品牌。</w:t>
            </w:r>
            <w:r>
              <w:rPr>
                <w:rFonts w:hint="eastAsia"/>
                <w:sz w:val="24"/>
              </w:rPr>
              <w:t>打造</w:t>
            </w:r>
            <w:r>
              <w:rPr>
                <w:rFonts w:ascii="仿宋_GB2312" w:hAnsi="仿宋_GB2312"/>
                <w:sz w:val="24"/>
              </w:rPr>
              <w:t>“</w:t>
            </w:r>
            <w:r>
              <w:rPr>
                <w:rFonts w:hint="eastAsia"/>
                <w:sz w:val="24"/>
              </w:rPr>
              <w:t>就莞用</w:t>
            </w:r>
            <w:r>
              <w:rPr>
                <w:rFonts w:ascii="仿宋_GB2312" w:hAnsi="仿宋_GB2312"/>
                <w:sz w:val="24"/>
              </w:rPr>
              <w:t>”</w:t>
            </w:r>
            <w:r>
              <w:rPr>
                <w:rFonts w:ascii="仿宋_GB2312" w:hAnsi="仿宋_GB2312"/>
                <w:sz w:val="24"/>
              </w:rPr>
              <w:t>服</w:t>
            </w:r>
            <w:r>
              <w:rPr>
                <w:sz w:val="24"/>
              </w:rPr>
              <w:t>务品牌，</w:t>
            </w:r>
            <w:r>
              <w:rPr>
                <w:rFonts w:hint="eastAsia"/>
                <w:sz w:val="24"/>
              </w:rPr>
              <w:t>开展</w:t>
            </w:r>
            <w:r>
              <w:rPr>
                <w:rFonts w:ascii="仿宋_GB2312" w:hAnsi="仿宋_GB2312"/>
                <w:sz w:val="24"/>
              </w:rPr>
              <w:t>“</w:t>
            </w:r>
            <w:r>
              <w:rPr>
                <w:sz w:val="24"/>
              </w:rPr>
              <w:t>链群对接</w:t>
            </w:r>
            <w:r>
              <w:rPr>
                <w:sz w:val="24"/>
              </w:rPr>
              <w:t xml:space="preserve"> </w:t>
            </w:r>
            <w:r>
              <w:rPr>
                <w:sz w:val="24"/>
              </w:rPr>
              <w:t>校企合作</w:t>
            </w:r>
            <w:r>
              <w:rPr>
                <w:rFonts w:ascii="仿宋_GB2312" w:hAnsi="仿宋_GB2312"/>
                <w:sz w:val="24"/>
              </w:rPr>
              <w:t>”“</w:t>
            </w:r>
            <w:r>
              <w:rPr>
                <w:sz w:val="24"/>
              </w:rPr>
              <w:t>莞邑启航</w:t>
            </w:r>
            <w:r>
              <w:rPr>
                <w:sz w:val="24"/>
              </w:rPr>
              <w:t xml:space="preserve"> </w:t>
            </w:r>
            <w:r>
              <w:rPr>
                <w:sz w:val="24"/>
              </w:rPr>
              <w:t>逐梦湾区</w:t>
            </w:r>
            <w:r>
              <w:rPr>
                <w:rFonts w:ascii="仿宋_GB2312" w:hAnsi="仿宋_GB2312"/>
                <w:sz w:val="24"/>
              </w:rPr>
              <w:t>”“</w:t>
            </w:r>
            <w:r>
              <w:rPr>
                <w:sz w:val="24"/>
              </w:rPr>
              <w:t>平安回家</w:t>
            </w:r>
            <w:r>
              <w:rPr>
                <w:sz w:val="24"/>
              </w:rPr>
              <w:t xml:space="preserve"> </w:t>
            </w:r>
            <w:r>
              <w:rPr>
                <w:sz w:val="24"/>
              </w:rPr>
              <w:t>相约东莞</w:t>
            </w:r>
            <w:r>
              <w:rPr>
                <w:rFonts w:ascii="仿宋_GB2312" w:hAnsi="仿宋_GB2312"/>
                <w:sz w:val="24"/>
              </w:rPr>
              <w:t>”“</w:t>
            </w:r>
            <w:r>
              <w:rPr>
                <w:sz w:val="24"/>
              </w:rPr>
              <w:t>就业服务</w:t>
            </w:r>
            <w:r>
              <w:rPr>
                <w:rFonts w:ascii="仿宋_GB2312" w:hAnsi="仿宋_GB2312"/>
                <w:sz w:val="24"/>
              </w:rPr>
              <w:t>日</w:t>
            </w:r>
            <w:r>
              <w:rPr>
                <w:rFonts w:ascii="仿宋_GB2312" w:hAnsi="仿宋_GB2312"/>
                <w:sz w:val="24"/>
              </w:rPr>
              <w:t>”“</w:t>
            </w:r>
            <w:r>
              <w:rPr>
                <w:sz w:val="24"/>
              </w:rPr>
              <w:t>就业援助</w:t>
            </w:r>
            <w:r>
              <w:rPr>
                <w:rFonts w:ascii="仿宋_GB2312" w:hAnsi="仿宋_GB2312"/>
                <w:sz w:val="24"/>
              </w:rPr>
              <w:t>月</w:t>
            </w:r>
            <w:r>
              <w:rPr>
                <w:rFonts w:ascii="仿宋_GB2312" w:hAnsi="仿宋_GB2312"/>
                <w:sz w:val="24"/>
              </w:rPr>
              <w:t>”“</w:t>
            </w:r>
            <w:r>
              <w:rPr>
                <w:sz w:val="24"/>
              </w:rPr>
              <w:t>春风行动</w:t>
            </w:r>
            <w:r>
              <w:rPr>
                <w:rFonts w:ascii="仿宋_GB2312" w:hAnsi="仿宋_GB2312"/>
                <w:sz w:val="24"/>
              </w:rPr>
              <w:t>”“</w:t>
            </w:r>
            <w:r>
              <w:rPr>
                <w:sz w:val="24"/>
              </w:rPr>
              <w:t>莞铜云聘日</w:t>
            </w:r>
            <w:r>
              <w:rPr>
                <w:sz w:val="24"/>
              </w:rPr>
              <w:t>”</w:t>
            </w:r>
            <w:r>
              <w:rPr>
                <w:sz w:val="24"/>
              </w:rPr>
              <w:t>等</w:t>
            </w:r>
            <w:r>
              <w:rPr>
                <w:rFonts w:hint="eastAsia"/>
                <w:sz w:val="24"/>
              </w:rPr>
              <w:t>服务</w:t>
            </w:r>
            <w:r>
              <w:rPr>
                <w:sz w:val="24"/>
              </w:rPr>
              <w:t>品牌，建立政策支持、技能提升、职业指导及社会保障等全生命周期</w:t>
            </w:r>
            <w:r>
              <w:rPr>
                <w:rFonts w:hint="eastAsia"/>
                <w:sz w:val="24"/>
              </w:rPr>
              <w:t>的</w:t>
            </w:r>
            <w:r>
              <w:rPr>
                <w:sz w:val="24"/>
              </w:rPr>
              <w:t>公共服务链条。</w:t>
            </w:r>
          </w:p>
          <w:p w:rsidR="000F7FAD" w:rsidRDefault="00BB4424">
            <w:pPr>
              <w:spacing w:line="400" w:lineRule="exact"/>
              <w:ind w:firstLineChars="200" w:firstLine="482"/>
              <w:rPr>
                <w:rFonts w:eastAsia="黑体"/>
                <w:sz w:val="24"/>
              </w:rPr>
            </w:pPr>
            <w:r>
              <w:rPr>
                <w:rFonts w:hint="eastAsia"/>
                <w:b/>
                <w:sz w:val="24"/>
              </w:rPr>
              <w:t>6.</w:t>
            </w:r>
            <w:r>
              <w:rPr>
                <w:rFonts w:hint="eastAsia"/>
                <w:b/>
                <w:sz w:val="24"/>
              </w:rPr>
              <w:t>加强</w:t>
            </w:r>
            <w:r>
              <w:rPr>
                <w:b/>
                <w:sz w:val="24"/>
              </w:rPr>
              <w:t>港澳青年创新创业基地建设</w:t>
            </w:r>
            <w:r>
              <w:rPr>
                <w:rFonts w:hint="eastAsia"/>
                <w:b/>
                <w:sz w:val="24"/>
              </w:rPr>
              <w:t>。</w:t>
            </w:r>
            <w:r>
              <w:rPr>
                <w:sz w:val="24"/>
              </w:rPr>
              <w:t>以松山湖港澳青年创新创业基地为引领，带动滨海湾新区（青创城）、南城</w:t>
            </w:r>
            <w:r>
              <w:rPr>
                <w:sz w:val="24"/>
              </w:rPr>
              <w:t>CBD</w:t>
            </w:r>
            <w:r>
              <w:rPr>
                <w:sz w:val="24"/>
              </w:rPr>
              <w:t>（香港国际服务中心）、常平（香港城）分别打造成高质量的港澳青年创新创业基地，形成</w:t>
            </w:r>
            <w:r>
              <w:rPr>
                <w:rFonts w:ascii="仿宋_GB2312" w:hAnsi="仿宋_GB2312"/>
                <w:sz w:val="24"/>
              </w:rPr>
              <w:t>“</w:t>
            </w:r>
            <w:r>
              <w:rPr>
                <w:sz w:val="24"/>
              </w:rPr>
              <w:t>1+N</w:t>
            </w:r>
            <w:r>
              <w:rPr>
                <w:rFonts w:ascii="仿宋_GB2312" w:hAnsi="仿宋_GB2312"/>
                <w:sz w:val="24"/>
              </w:rPr>
              <w:t>”</w:t>
            </w:r>
            <w:r>
              <w:rPr>
                <w:rFonts w:ascii="仿宋_GB2312" w:hAnsi="仿宋_GB2312"/>
                <w:sz w:val="24"/>
              </w:rPr>
              <w:t>的</w:t>
            </w:r>
            <w:r>
              <w:rPr>
                <w:sz w:val="24"/>
              </w:rPr>
              <w:t>港澳青年创新创业基地建设格局。支持松山湖、莞城、虎门、东城、南城、厚街、长安、塘厦、常平等</w:t>
            </w:r>
            <w:r>
              <w:rPr>
                <w:sz w:val="24"/>
              </w:rPr>
              <w:t>9</w:t>
            </w:r>
            <w:r>
              <w:rPr>
                <w:sz w:val="24"/>
              </w:rPr>
              <w:t>个园区、镇（街），建设港澳青年创新创业服务先行区。</w:t>
            </w:r>
          </w:p>
        </w:tc>
      </w:tr>
    </w:tbl>
    <w:p w:rsidR="000F7FAD" w:rsidRDefault="00BB4424">
      <w:pPr>
        <w:pStyle w:val="20"/>
      </w:pPr>
      <w:bookmarkStart w:id="20" w:name="_Toc22673"/>
      <w:bookmarkStart w:id="21" w:name="_Toc5195"/>
      <w:r>
        <w:rPr>
          <w:rFonts w:hint="eastAsia"/>
        </w:rPr>
        <w:lastRenderedPageBreak/>
        <w:t>第二节</w:t>
      </w:r>
      <w:r>
        <w:rPr>
          <w:rFonts w:hint="eastAsia"/>
        </w:rPr>
        <w:t xml:space="preserve"> </w:t>
      </w:r>
      <w:r>
        <w:t xml:space="preserve"> </w:t>
      </w:r>
      <w:r>
        <w:rPr>
          <w:rFonts w:hint="eastAsia"/>
        </w:rPr>
        <w:t>完善就业创业服务平台体系</w:t>
      </w:r>
      <w:bookmarkEnd w:id="20"/>
      <w:bookmarkEnd w:id="21"/>
    </w:p>
    <w:p w:rsidR="000F7FAD" w:rsidRDefault="00BB4424">
      <w:pPr>
        <w:topLinePunct/>
        <w:autoSpaceDE w:val="0"/>
        <w:autoSpaceDN w:val="0"/>
        <w:snapToGrid w:val="0"/>
        <w:spacing w:line="600" w:lineRule="exact"/>
        <w:ind w:firstLineChars="200" w:firstLine="640"/>
        <w:rPr>
          <w:sz w:val="32"/>
          <w:szCs w:val="32"/>
        </w:rPr>
      </w:pPr>
      <w:r>
        <w:rPr>
          <w:rFonts w:ascii="楷体_GB2312" w:eastAsia="楷体_GB2312" w:hint="eastAsia"/>
          <w:sz w:val="32"/>
          <w:szCs w:val="32"/>
        </w:rPr>
        <w:t>完善数字化就业创业服务平台。</w:t>
      </w:r>
      <w:r>
        <w:rPr>
          <w:rFonts w:hint="eastAsia"/>
          <w:sz w:val="32"/>
          <w:szCs w:val="32"/>
        </w:rPr>
        <w:t>升级优化“就莞用”平台，优化就业创业综合服务平台，完善拓展政策解读、岗位推送、供需对接、数字赋能、跟踪服务等功能。建立用工雷达平台，完善岗位储备数据库，实现企业用工与劳动力供求即时、智能匹配。利用“共享用工”信息平台，优化人力资源余缺配置。运用信息化系统和小程序，推动各类补贴和服务事项“指尖”办理，企业群众办事“零跑动”。</w:t>
      </w:r>
    </w:p>
    <w:p w:rsidR="000F7FAD" w:rsidRDefault="00BB4424">
      <w:pPr>
        <w:topLinePunct/>
        <w:autoSpaceDE w:val="0"/>
        <w:autoSpaceDN w:val="0"/>
        <w:snapToGrid w:val="0"/>
        <w:spacing w:line="600" w:lineRule="exact"/>
        <w:ind w:firstLineChars="200" w:firstLine="640"/>
        <w:rPr>
          <w:sz w:val="32"/>
          <w:szCs w:val="32"/>
        </w:rPr>
      </w:pPr>
      <w:r>
        <w:rPr>
          <w:rFonts w:ascii="楷体_GB2312" w:eastAsia="楷体_GB2312" w:hint="eastAsia"/>
          <w:sz w:val="32"/>
          <w:szCs w:val="32"/>
        </w:rPr>
        <w:t>完善三级公共就业创业服务平台。</w:t>
      </w:r>
      <w:r w:rsidRPr="006110A6">
        <w:rPr>
          <w:rFonts w:hint="eastAsia"/>
          <w:sz w:val="32"/>
          <w:szCs w:val="32"/>
        </w:rPr>
        <w:t>加</w:t>
      </w:r>
      <w:r>
        <w:rPr>
          <w:rFonts w:hint="eastAsia"/>
          <w:sz w:val="32"/>
          <w:szCs w:val="32"/>
        </w:rPr>
        <w:t>强市镇村三级公共就业服务力量配备，为各类求职者、用人单位就近就便提供“一站式”常态化公共就业服务。加强工作指导，定期组织座谈交流，开展跟班培训，提升基层服</w:t>
      </w:r>
      <w:r>
        <w:rPr>
          <w:rFonts w:hint="eastAsia"/>
          <w:sz w:val="32"/>
          <w:szCs w:val="32"/>
        </w:rPr>
        <w:t>务站人员业务水平。制定公共就业服务活动月历，做到时时有服务</w:t>
      </w:r>
      <w:r>
        <w:rPr>
          <w:rFonts w:hint="eastAsia"/>
          <w:sz w:val="32"/>
          <w:szCs w:val="32"/>
        </w:rPr>
        <w:t>、</w:t>
      </w:r>
      <w:r>
        <w:rPr>
          <w:rFonts w:hint="eastAsia"/>
          <w:sz w:val="32"/>
          <w:szCs w:val="32"/>
        </w:rPr>
        <w:t>月月有活动。</w:t>
      </w:r>
    </w:p>
    <w:p w:rsidR="000F7FAD" w:rsidRDefault="00BB4424">
      <w:pPr>
        <w:topLinePunct/>
        <w:autoSpaceDE w:val="0"/>
        <w:autoSpaceDN w:val="0"/>
        <w:snapToGrid w:val="0"/>
        <w:spacing w:line="600" w:lineRule="exact"/>
        <w:ind w:firstLineChars="200" w:firstLine="640"/>
        <w:rPr>
          <w:sz w:val="32"/>
          <w:szCs w:val="32"/>
        </w:rPr>
      </w:pPr>
      <w:r>
        <w:rPr>
          <w:rFonts w:ascii="楷体_GB2312" w:eastAsia="楷体_GB2312" w:hint="eastAsia"/>
          <w:sz w:val="32"/>
          <w:szCs w:val="32"/>
        </w:rPr>
        <w:t>打造各类创业创新孵化平台。</w:t>
      </w:r>
      <w:r>
        <w:rPr>
          <w:rFonts w:hint="eastAsia"/>
          <w:sz w:val="32"/>
          <w:szCs w:val="32"/>
        </w:rPr>
        <w:t>推动港澳青年创新创业基地高质量发展，健全基地认定管理制度，发挥松山湖港澳青年创新创业基地的示范引领和辐射带动作用，逐步建成“</w:t>
      </w:r>
      <w:r>
        <w:rPr>
          <w:rFonts w:hint="eastAsia"/>
          <w:sz w:val="32"/>
          <w:szCs w:val="32"/>
        </w:rPr>
        <w:t>1+N</w:t>
      </w:r>
      <w:r>
        <w:rPr>
          <w:rFonts w:hint="eastAsia"/>
          <w:sz w:val="32"/>
          <w:szCs w:val="32"/>
        </w:rPr>
        <w:t>”港澳青年创新创业基地体系。完善创业孵化服务体系，认定一批市级创业孵化基地和市级示范性创业孵化基地，完成创业培训</w:t>
      </w:r>
      <w:r>
        <w:rPr>
          <w:rFonts w:hint="eastAsia"/>
          <w:sz w:val="32"/>
          <w:szCs w:val="32"/>
        </w:rPr>
        <w:t>1</w:t>
      </w:r>
      <w:r>
        <w:rPr>
          <w:rFonts w:hint="eastAsia"/>
          <w:sz w:val="32"/>
          <w:szCs w:val="32"/>
        </w:rPr>
        <w:t>万人次以上，“农村电商”培训</w:t>
      </w:r>
      <w:r>
        <w:rPr>
          <w:rFonts w:hint="eastAsia"/>
          <w:sz w:val="32"/>
          <w:szCs w:val="32"/>
        </w:rPr>
        <w:t>1</w:t>
      </w:r>
      <w:r>
        <w:rPr>
          <w:rFonts w:hint="eastAsia"/>
          <w:sz w:val="32"/>
          <w:szCs w:val="32"/>
        </w:rPr>
        <w:t>万人次以上。完善创业培训制度，探索建立志愿者服务机制，组建高素质创业导师队伍。</w:t>
      </w:r>
    </w:p>
    <w:p w:rsidR="000F7FAD" w:rsidRDefault="00BB4424">
      <w:pPr>
        <w:pStyle w:val="20"/>
      </w:pPr>
      <w:bookmarkStart w:id="22" w:name="_Toc9636"/>
      <w:bookmarkStart w:id="23" w:name="_Toc17469"/>
      <w:r>
        <w:rPr>
          <w:rFonts w:hint="eastAsia"/>
        </w:rPr>
        <w:lastRenderedPageBreak/>
        <w:t>第三节</w:t>
      </w:r>
      <w:r>
        <w:rPr>
          <w:rFonts w:hint="eastAsia"/>
        </w:rPr>
        <w:t xml:space="preserve"> </w:t>
      </w:r>
      <w:r>
        <w:t xml:space="preserve"> </w:t>
      </w:r>
      <w:r>
        <w:rPr>
          <w:rFonts w:hint="eastAsia"/>
        </w:rPr>
        <w:t>完善就业创业公共服务体系</w:t>
      </w:r>
      <w:bookmarkEnd w:id="22"/>
      <w:bookmarkEnd w:id="23"/>
    </w:p>
    <w:p w:rsidR="000F7FAD" w:rsidRDefault="00BB4424">
      <w:pPr>
        <w:topLinePunct/>
        <w:autoSpaceDE w:val="0"/>
        <w:autoSpaceDN w:val="0"/>
        <w:snapToGrid w:val="0"/>
        <w:spacing w:line="600" w:lineRule="exact"/>
        <w:ind w:firstLineChars="200" w:firstLine="640"/>
        <w:rPr>
          <w:sz w:val="32"/>
          <w:szCs w:val="32"/>
        </w:rPr>
      </w:pPr>
      <w:r>
        <w:rPr>
          <w:rFonts w:ascii="楷体_GB2312" w:eastAsia="楷体_GB2312" w:hint="eastAsia"/>
          <w:sz w:val="32"/>
          <w:szCs w:val="32"/>
        </w:rPr>
        <w:t>打造</w:t>
      </w:r>
      <w:r>
        <w:rPr>
          <w:rFonts w:ascii="楷体_GB2312" w:eastAsia="楷体_GB2312" w:hint="eastAsia"/>
          <w:sz w:val="32"/>
          <w:szCs w:val="32"/>
        </w:rPr>
        <w:t>“</w:t>
      </w:r>
      <w:r>
        <w:rPr>
          <w:rFonts w:ascii="楷体_GB2312" w:eastAsia="楷体_GB2312" w:hint="eastAsia"/>
          <w:sz w:val="32"/>
          <w:szCs w:val="32"/>
        </w:rPr>
        <w:t>就莞用</w:t>
      </w:r>
      <w:r>
        <w:rPr>
          <w:rFonts w:ascii="楷体_GB2312" w:eastAsia="楷体_GB2312" w:hint="eastAsia"/>
          <w:sz w:val="32"/>
          <w:szCs w:val="32"/>
        </w:rPr>
        <w:t>”服务品牌。</w:t>
      </w:r>
      <w:r>
        <w:rPr>
          <w:rFonts w:hint="eastAsia"/>
          <w:sz w:val="32"/>
          <w:szCs w:val="32"/>
        </w:rPr>
        <w:t>将“</w:t>
      </w:r>
      <w:r>
        <w:rPr>
          <w:rFonts w:hint="eastAsia"/>
          <w:sz w:val="32"/>
          <w:szCs w:val="32"/>
        </w:rPr>
        <w:t>就莞用</w:t>
      </w:r>
      <w:r>
        <w:rPr>
          <w:rFonts w:hint="eastAsia"/>
          <w:sz w:val="32"/>
          <w:szCs w:val="32"/>
        </w:rPr>
        <w:t>”打造成为全市性就业服务品牌，提供更有效更精准的岗位对接和就业服务。实施“一库、两平台、双专员、三保障”模式，以标准化促进就业服务规范化，以部门联动推进信息互联互通和数据共享，以资源整合提升服务效能。</w:t>
      </w:r>
    </w:p>
    <w:p w:rsidR="000F7FAD" w:rsidRDefault="00BB4424">
      <w:pPr>
        <w:topLinePunct/>
        <w:autoSpaceDE w:val="0"/>
        <w:autoSpaceDN w:val="0"/>
        <w:snapToGrid w:val="0"/>
        <w:spacing w:line="600" w:lineRule="exact"/>
        <w:ind w:firstLineChars="200" w:firstLine="640"/>
        <w:rPr>
          <w:sz w:val="32"/>
          <w:szCs w:val="32"/>
        </w:rPr>
      </w:pPr>
      <w:r>
        <w:rPr>
          <w:rFonts w:ascii="楷体_GB2312" w:eastAsia="楷体_GB2312" w:hint="eastAsia"/>
          <w:sz w:val="32"/>
          <w:szCs w:val="32"/>
        </w:rPr>
        <w:t>做强高校毕业生就业服务品牌。</w:t>
      </w:r>
      <w:r>
        <w:rPr>
          <w:rFonts w:hint="eastAsia"/>
          <w:sz w:val="32"/>
          <w:szCs w:val="32"/>
        </w:rPr>
        <w:t>实施“莞邑启航</w:t>
      </w:r>
      <w:r>
        <w:rPr>
          <w:rFonts w:hint="eastAsia"/>
          <w:sz w:val="32"/>
          <w:szCs w:val="32"/>
        </w:rPr>
        <w:t xml:space="preserve"> </w:t>
      </w:r>
      <w:r>
        <w:rPr>
          <w:rFonts w:hint="eastAsia"/>
          <w:sz w:val="32"/>
          <w:szCs w:val="32"/>
        </w:rPr>
        <w:t>逐梦湾区”就业创业行动，开展职业指导、职业培训、应届毕业生专场招聘会、就业服务周等多形式活动。开展东莞校企合作洽谈会，促进链群对接，实施“订单式”培养，适时组织校园回访、招聘。落实新生代产业工人圆梦计划，拓宽职业成长通道。</w:t>
      </w:r>
    </w:p>
    <w:p w:rsidR="000F7FAD" w:rsidRDefault="00BB4424">
      <w:pPr>
        <w:topLinePunct/>
        <w:autoSpaceDE w:val="0"/>
        <w:autoSpaceDN w:val="0"/>
        <w:snapToGrid w:val="0"/>
        <w:spacing w:line="600" w:lineRule="exact"/>
        <w:ind w:firstLineChars="200" w:firstLine="640"/>
        <w:rPr>
          <w:sz w:val="32"/>
          <w:szCs w:val="32"/>
        </w:rPr>
      </w:pPr>
      <w:r>
        <w:rPr>
          <w:rFonts w:ascii="楷体_GB2312" w:eastAsia="楷体_GB2312" w:hint="eastAsia"/>
          <w:sz w:val="32"/>
          <w:szCs w:val="32"/>
        </w:rPr>
        <w:t>打</w:t>
      </w:r>
      <w:r>
        <w:rPr>
          <w:rFonts w:ascii="楷体_GB2312" w:eastAsia="楷体_GB2312" w:hint="eastAsia"/>
          <w:sz w:val="32"/>
          <w:szCs w:val="32"/>
        </w:rPr>
        <w:t>造重点群体服务活动品牌。</w:t>
      </w:r>
      <w:r>
        <w:rPr>
          <w:rFonts w:hint="eastAsia"/>
          <w:sz w:val="32"/>
          <w:szCs w:val="32"/>
        </w:rPr>
        <w:t>做优“平安回家</w:t>
      </w:r>
      <w:r>
        <w:rPr>
          <w:rFonts w:hint="eastAsia"/>
          <w:sz w:val="32"/>
          <w:szCs w:val="32"/>
        </w:rPr>
        <w:t xml:space="preserve"> </w:t>
      </w:r>
      <w:r>
        <w:rPr>
          <w:rFonts w:hint="eastAsia"/>
          <w:sz w:val="32"/>
          <w:szCs w:val="32"/>
        </w:rPr>
        <w:t>相约东莞”“就业服务日”“就业援助月”“春风行动”招聘会、“残疾人就业帮扶”“就业扶贫行动日”等服务品牌活动，促进重点群体稳定就业。加强就业大数据分析，对高校毕业生、就业困难人员、脱贫人口等重点群体就业状况进行数据化管理，建立实名制就业台账，提供高效精准的就业服务。组建职业指导师人员库，开展职业指导下基层服务活动。</w:t>
      </w:r>
    </w:p>
    <w:p w:rsidR="000F7FAD" w:rsidRDefault="00BB4424">
      <w:pPr>
        <w:topLinePunct/>
        <w:autoSpaceDE w:val="0"/>
        <w:autoSpaceDN w:val="0"/>
        <w:snapToGrid w:val="0"/>
        <w:spacing w:line="600" w:lineRule="exact"/>
        <w:ind w:firstLineChars="200" w:firstLine="640"/>
        <w:rPr>
          <w:sz w:val="32"/>
          <w:szCs w:val="32"/>
        </w:rPr>
      </w:pPr>
      <w:r>
        <w:rPr>
          <w:rFonts w:ascii="楷体_GB2312" w:eastAsia="楷体_GB2312" w:hint="eastAsia"/>
          <w:sz w:val="32"/>
          <w:szCs w:val="32"/>
        </w:rPr>
        <w:t>做好对口帮扶地区劳务帮扶对接。</w:t>
      </w:r>
      <w:r>
        <w:rPr>
          <w:rFonts w:hint="eastAsia"/>
          <w:sz w:val="32"/>
          <w:szCs w:val="32"/>
        </w:rPr>
        <w:t>激发市场化、社会化力量，完善“政府搭台、企业主导、共谋发展”的就业帮扶格局。</w:t>
      </w:r>
      <w:r>
        <w:rPr>
          <w:rFonts w:hint="eastAsia"/>
          <w:sz w:val="32"/>
          <w:szCs w:val="32"/>
        </w:rPr>
        <w:lastRenderedPageBreak/>
        <w:t>引导东莞人力资源机构到对口帮扶地区投资发展，支持</w:t>
      </w:r>
      <w:r>
        <w:rPr>
          <w:rFonts w:hint="eastAsia"/>
          <w:sz w:val="32"/>
          <w:szCs w:val="32"/>
        </w:rPr>
        <w:t>创建技能培训基地、创业孵化基地，支持两地院校、企业实行产业链对接专业群工作模式。依托大数据以及园区、镇（街）和劳务协作联络站，逐步推动对口帮扶地区在莞务工人员实名制、动态化管理服务。</w:t>
      </w:r>
    </w:p>
    <w:tbl>
      <w:tblPr>
        <w:tblW w:w="77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3"/>
      </w:tblGrid>
      <w:tr w:rsidR="000F7FAD">
        <w:trPr>
          <w:jc w:val="center"/>
        </w:trPr>
        <w:tc>
          <w:tcPr>
            <w:tcW w:w="7763" w:type="dxa"/>
            <w:vAlign w:val="center"/>
          </w:tcPr>
          <w:p w:rsidR="000F7FAD" w:rsidRDefault="00BB4424">
            <w:pPr>
              <w:adjustRightInd w:val="0"/>
              <w:snapToGrid w:val="0"/>
              <w:spacing w:line="480" w:lineRule="exact"/>
              <w:jc w:val="center"/>
              <w:rPr>
                <w:rFonts w:eastAsia="黑体"/>
                <w:szCs w:val="30"/>
              </w:rPr>
            </w:pPr>
            <w:r>
              <w:rPr>
                <w:rFonts w:eastAsia="黑体"/>
                <w:szCs w:val="30"/>
              </w:rPr>
              <w:t>专栏</w:t>
            </w:r>
            <w:r>
              <w:rPr>
                <w:rFonts w:eastAsia="黑体" w:hint="eastAsia"/>
                <w:szCs w:val="30"/>
              </w:rPr>
              <w:t>4</w:t>
            </w:r>
            <w:r>
              <w:rPr>
                <w:rFonts w:eastAsia="黑体"/>
                <w:szCs w:val="30"/>
              </w:rPr>
              <w:t xml:space="preserve">  </w:t>
            </w:r>
            <w:r>
              <w:rPr>
                <w:rFonts w:eastAsia="黑体"/>
                <w:szCs w:val="30"/>
              </w:rPr>
              <w:t>就业创业促进</w:t>
            </w:r>
            <w:r>
              <w:rPr>
                <w:rFonts w:eastAsia="黑体" w:hint="eastAsia"/>
                <w:szCs w:val="30"/>
              </w:rPr>
              <w:t>行动</w:t>
            </w:r>
          </w:p>
        </w:tc>
      </w:tr>
      <w:tr w:rsidR="000F7FAD">
        <w:trPr>
          <w:trHeight w:val="416"/>
          <w:jc w:val="center"/>
        </w:trPr>
        <w:tc>
          <w:tcPr>
            <w:tcW w:w="7763" w:type="dxa"/>
            <w:vAlign w:val="center"/>
          </w:tcPr>
          <w:p w:rsidR="000F7FAD" w:rsidRDefault="00BB4424">
            <w:pPr>
              <w:adjustRightInd w:val="0"/>
              <w:snapToGrid w:val="0"/>
              <w:spacing w:line="400" w:lineRule="exact"/>
              <w:ind w:firstLineChars="200" w:firstLine="482"/>
              <w:jc w:val="left"/>
              <w:rPr>
                <w:sz w:val="24"/>
              </w:rPr>
            </w:pPr>
            <w:r>
              <w:rPr>
                <w:b/>
                <w:sz w:val="24"/>
              </w:rPr>
              <w:t>1.</w:t>
            </w:r>
            <w:r>
              <w:rPr>
                <w:rFonts w:hint="eastAsia"/>
                <w:b/>
                <w:sz w:val="24"/>
              </w:rPr>
              <w:t>促进</w:t>
            </w:r>
            <w:r>
              <w:rPr>
                <w:b/>
                <w:sz w:val="24"/>
              </w:rPr>
              <w:t>高校毕业生就业。</w:t>
            </w:r>
            <w:r>
              <w:rPr>
                <w:rFonts w:hint="eastAsia"/>
                <w:sz w:val="24"/>
              </w:rPr>
              <w:t>实施</w:t>
            </w:r>
            <w:r>
              <w:rPr>
                <w:rFonts w:ascii="仿宋_GB2312" w:hAnsi="仿宋_GB2312"/>
                <w:sz w:val="24"/>
              </w:rPr>
              <w:t>“</w:t>
            </w:r>
            <w:r>
              <w:rPr>
                <w:sz w:val="24"/>
              </w:rPr>
              <w:t>莞邑启航</w:t>
            </w:r>
            <w:r>
              <w:rPr>
                <w:sz w:val="24"/>
              </w:rPr>
              <w:t xml:space="preserve"> </w:t>
            </w:r>
            <w:r>
              <w:rPr>
                <w:sz w:val="24"/>
              </w:rPr>
              <w:t>逐梦湾区</w:t>
            </w:r>
            <w:r>
              <w:rPr>
                <w:rFonts w:ascii="仿宋_GB2312" w:hAnsi="仿宋_GB2312"/>
                <w:sz w:val="24"/>
              </w:rPr>
              <w:t>”</w:t>
            </w:r>
            <w:r>
              <w:rPr>
                <w:rFonts w:hint="eastAsia"/>
                <w:sz w:val="24"/>
              </w:rPr>
              <w:t>计划，</w:t>
            </w:r>
            <w:r>
              <w:rPr>
                <w:sz w:val="24"/>
              </w:rPr>
              <w:t>每年开展</w:t>
            </w:r>
            <w:r>
              <w:rPr>
                <w:rFonts w:ascii="仿宋_GB2312" w:hAnsi="仿宋_GB2312"/>
                <w:sz w:val="24"/>
              </w:rPr>
              <w:t>“</w:t>
            </w:r>
            <w:r>
              <w:rPr>
                <w:sz w:val="24"/>
              </w:rPr>
              <w:t>链群对接</w:t>
            </w:r>
            <w:r>
              <w:rPr>
                <w:rFonts w:ascii="仿宋_GB2312" w:hAnsi="仿宋_GB2312"/>
                <w:sz w:val="24"/>
              </w:rPr>
              <w:t>”</w:t>
            </w:r>
            <w:r>
              <w:rPr>
                <w:sz w:val="24"/>
              </w:rPr>
              <w:t>校企合作洽谈会</w:t>
            </w:r>
            <w:r>
              <w:rPr>
                <w:rFonts w:hint="eastAsia"/>
                <w:sz w:val="24"/>
              </w:rPr>
              <w:t>、名企名校行、校园招聘以及实习见习、就业创业指导、供需见面会等对接活动</w:t>
            </w:r>
            <w:r>
              <w:rPr>
                <w:sz w:val="24"/>
              </w:rPr>
              <w:t>。</w:t>
            </w:r>
            <w:r>
              <w:rPr>
                <w:rFonts w:hint="eastAsia"/>
                <w:sz w:val="24"/>
              </w:rPr>
              <w:t>落实困难家庭毕业生“一对一”服务，</w:t>
            </w:r>
            <w:r>
              <w:rPr>
                <w:sz w:val="24"/>
              </w:rPr>
              <w:t>加强离校未就业毕业生信息核查</w:t>
            </w:r>
            <w:r>
              <w:rPr>
                <w:rFonts w:hint="eastAsia"/>
                <w:sz w:val="24"/>
              </w:rPr>
              <w:t>、</w:t>
            </w:r>
            <w:r>
              <w:rPr>
                <w:sz w:val="24"/>
              </w:rPr>
              <w:t>跟踪服务。</w:t>
            </w:r>
            <w:r>
              <w:rPr>
                <w:rFonts w:hint="eastAsia"/>
                <w:sz w:val="24"/>
              </w:rPr>
              <w:t>确保每年应届高校毕业生初次就业率达</w:t>
            </w:r>
            <w:r>
              <w:rPr>
                <w:rFonts w:hint="eastAsia"/>
                <w:sz w:val="24"/>
              </w:rPr>
              <w:t>96%</w:t>
            </w:r>
            <w:r>
              <w:rPr>
                <w:rFonts w:hint="eastAsia"/>
                <w:sz w:val="24"/>
              </w:rPr>
              <w:t>以上，困难家庭毕业生实现</w:t>
            </w:r>
            <w:r>
              <w:rPr>
                <w:rFonts w:hint="eastAsia"/>
                <w:sz w:val="24"/>
              </w:rPr>
              <w:t>100%</w:t>
            </w:r>
            <w:r>
              <w:rPr>
                <w:rFonts w:hint="eastAsia"/>
                <w:sz w:val="24"/>
              </w:rPr>
              <w:t>就业。</w:t>
            </w:r>
            <w:r>
              <w:rPr>
                <w:sz w:val="24"/>
              </w:rPr>
              <w:t xml:space="preserve"> </w:t>
            </w:r>
          </w:p>
          <w:p w:rsidR="000F7FAD" w:rsidRDefault="00BB4424">
            <w:pPr>
              <w:autoSpaceDE w:val="0"/>
              <w:autoSpaceDN w:val="0"/>
              <w:adjustRightInd w:val="0"/>
              <w:spacing w:line="400" w:lineRule="exact"/>
              <w:ind w:firstLineChars="200" w:firstLine="482"/>
              <w:jc w:val="left"/>
              <w:rPr>
                <w:sz w:val="24"/>
              </w:rPr>
            </w:pPr>
            <w:r>
              <w:rPr>
                <w:b/>
                <w:sz w:val="24"/>
              </w:rPr>
              <w:t>2.</w:t>
            </w:r>
            <w:r>
              <w:rPr>
                <w:rFonts w:hint="eastAsia"/>
                <w:b/>
                <w:sz w:val="24"/>
              </w:rPr>
              <w:t>大力支持</w:t>
            </w:r>
            <w:r>
              <w:rPr>
                <w:b/>
                <w:sz w:val="24"/>
              </w:rPr>
              <w:t>灵活就业。</w:t>
            </w:r>
            <w:r>
              <w:rPr>
                <w:sz w:val="24"/>
              </w:rPr>
              <w:t>支持和规范新就业形态发展，</w:t>
            </w:r>
            <w:r>
              <w:rPr>
                <w:rFonts w:hint="eastAsia"/>
                <w:sz w:val="24"/>
              </w:rPr>
              <w:t>清理取消不合理限制灵活就业的规定。</w:t>
            </w:r>
            <w:r>
              <w:rPr>
                <w:sz w:val="24"/>
              </w:rPr>
              <w:t>完善灵活就业、新就业形态用工需求岗位信息收集和发布机制，推进</w:t>
            </w:r>
            <w:r>
              <w:rPr>
                <w:rFonts w:hint="eastAsia"/>
                <w:sz w:val="24"/>
              </w:rPr>
              <w:t>新就业形态从业人员</w:t>
            </w:r>
            <w:r>
              <w:rPr>
                <w:sz w:val="24"/>
              </w:rPr>
              <w:t>技能提升和就业促进项目。</w:t>
            </w:r>
          </w:p>
          <w:p w:rsidR="000F7FAD" w:rsidRDefault="00BB4424">
            <w:pPr>
              <w:autoSpaceDE w:val="0"/>
              <w:autoSpaceDN w:val="0"/>
              <w:adjustRightInd w:val="0"/>
              <w:spacing w:line="400" w:lineRule="exact"/>
              <w:ind w:firstLineChars="200" w:firstLine="482"/>
              <w:jc w:val="left"/>
              <w:rPr>
                <w:sz w:val="24"/>
              </w:rPr>
            </w:pPr>
            <w:r>
              <w:rPr>
                <w:b/>
                <w:sz w:val="24"/>
              </w:rPr>
              <w:t>3.</w:t>
            </w:r>
            <w:r>
              <w:rPr>
                <w:rFonts w:hint="eastAsia"/>
                <w:b/>
                <w:sz w:val="24"/>
              </w:rPr>
              <w:t>实施就业援助计划。</w:t>
            </w:r>
            <w:r>
              <w:rPr>
                <w:rFonts w:hint="eastAsia"/>
                <w:bCs/>
                <w:sz w:val="24"/>
              </w:rPr>
              <w:t>实施</w:t>
            </w:r>
            <w:r>
              <w:rPr>
                <w:rFonts w:hint="eastAsia"/>
                <w:sz w:val="24"/>
              </w:rPr>
              <w:t>就业困难群众服务管理方案，构建“就业登记、离职跟踪、供需匹配、困难服务、风险防范”的“就莞用”服务系统，实施分级分类服务，促进就业困难群众尽快就业。</w:t>
            </w:r>
          </w:p>
        </w:tc>
      </w:tr>
    </w:tbl>
    <w:p w:rsidR="000F7FAD" w:rsidRDefault="00BB4424">
      <w:pPr>
        <w:pStyle w:val="1"/>
      </w:pPr>
      <w:bookmarkStart w:id="24" w:name="_Toc5340"/>
      <w:bookmarkStart w:id="25" w:name="_Toc13971"/>
      <w:r>
        <w:rPr>
          <w:rFonts w:hint="eastAsia"/>
        </w:rPr>
        <w:t>第四章</w:t>
      </w:r>
      <w:r>
        <w:rPr>
          <w:rFonts w:hint="eastAsia"/>
        </w:rPr>
        <w:t xml:space="preserve"> </w:t>
      </w:r>
      <w:r>
        <w:t xml:space="preserve"> </w:t>
      </w:r>
      <w:r>
        <w:t>加强企业用工服务保障</w:t>
      </w:r>
      <w:r>
        <w:rPr>
          <w:rFonts w:hint="eastAsia"/>
        </w:rPr>
        <w:t xml:space="preserve"> </w:t>
      </w:r>
      <w:r>
        <w:t>全面提升企业人才人力效能</w:t>
      </w:r>
      <w:bookmarkEnd w:id="24"/>
      <w:bookmarkEnd w:id="25"/>
    </w:p>
    <w:p w:rsidR="000F7FAD" w:rsidRDefault="00BB4424">
      <w:pPr>
        <w:topLinePunct/>
        <w:autoSpaceDE w:val="0"/>
        <w:autoSpaceDN w:val="0"/>
        <w:snapToGrid w:val="0"/>
        <w:spacing w:line="600" w:lineRule="exact"/>
        <w:ind w:firstLineChars="200" w:firstLine="640"/>
        <w:rPr>
          <w:sz w:val="32"/>
          <w:szCs w:val="32"/>
        </w:rPr>
      </w:pPr>
      <w:r>
        <w:rPr>
          <w:rFonts w:hint="eastAsia"/>
          <w:sz w:val="32"/>
          <w:szCs w:val="32"/>
        </w:rPr>
        <w:t>开展企业用工建设服务行动，强化用工预警、诊断、服务、自律，建立完善部门联动、综合响应、保障服务机制，分片服务、督帮一体、及时响应，促进就业用工动态平衡。</w:t>
      </w:r>
    </w:p>
    <w:p w:rsidR="000F7FAD" w:rsidRDefault="00BB4424">
      <w:pPr>
        <w:pStyle w:val="20"/>
      </w:pPr>
      <w:bookmarkStart w:id="26" w:name="_Toc21583"/>
      <w:bookmarkStart w:id="27" w:name="_Toc11139"/>
      <w:r>
        <w:rPr>
          <w:rFonts w:hint="eastAsia"/>
        </w:rPr>
        <w:t>第一节</w:t>
      </w:r>
      <w:r>
        <w:rPr>
          <w:rFonts w:hint="eastAsia"/>
        </w:rPr>
        <w:t xml:space="preserve"> </w:t>
      </w:r>
      <w:r>
        <w:t xml:space="preserve"> </w:t>
      </w:r>
      <w:r>
        <w:rPr>
          <w:rFonts w:hint="eastAsia"/>
        </w:rPr>
        <w:t>强化企业用工预警</w:t>
      </w:r>
      <w:bookmarkEnd w:id="26"/>
      <w:bookmarkEnd w:id="27"/>
    </w:p>
    <w:p w:rsidR="000F7FAD" w:rsidRDefault="00BB4424">
      <w:pPr>
        <w:topLinePunct/>
        <w:autoSpaceDE w:val="0"/>
        <w:autoSpaceDN w:val="0"/>
        <w:snapToGrid w:val="0"/>
        <w:spacing w:line="580" w:lineRule="exact"/>
        <w:ind w:firstLineChars="200" w:firstLine="640"/>
        <w:rPr>
          <w:sz w:val="32"/>
          <w:szCs w:val="32"/>
        </w:rPr>
      </w:pPr>
      <w:r>
        <w:rPr>
          <w:rFonts w:ascii="楷体_GB2312" w:eastAsia="楷体_GB2312" w:hint="eastAsia"/>
          <w:sz w:val="32"/>
          <w:szCs w:val="32"/>
        </w:rPr>
        <w:t>推进用工画像。</w:t>
      </w:r>
      <w:r>
        <w:rPr>
          <w:rFonts w:hint="eastAsia"/>
          <w:sz w:val="32"/>
          <w:szCs w:val="32"/>
        </w:rPr>
        <w:t>强化就业工作领导小组对用工的服务保障，</w:t>
      </w:r>
      <w:r>
        <w:rPr>
          <w:rFonts w:hint="eastAsia"/>
          <w:sz w:val="32"/>
          <w:szCs w:val="32"/>
        </w:rPr>
        <w:lastRenderedPageBreak/>
        <w:t>加强人社、工信、商务、税务等部门联动，全面收集企业经营发展、用工管理、劳资协调、参保情况、税务征缴、失信状态等动态信息，形成企业用工画像数据库，定期更新、共享数据。</w:t>
      </w:r>
    </w:p>
    <w:p w:rsidR="000F7FAD" w:rsidRDefault="00BB4424">
      <w:pPr>
        <w:topLinePunct/>
        <w:autoSpaceDE w:val="0"/>
        <w:autoSpaceDN w:val="0"/>
        <w:snapToGrid w:val="0"/>
        <w:spacing w:line="580" w:lineRule="exact"/>
        <w:ind w:firstLineChars="200" w:firstLine="640"/>
        <w:rPr>
          <w:sz w:val="32"/>
          <w:szCs w:val="32"/>
        </w:rPr>
      </w:pPr>
      <w:r>
        <w:rPr>
          <w:rFonts w:ascii="楷体_GB2312" w:eastAsia="楷体_GB2312" w:hint="eastAsia"/>
          <w:sz w:val="32"/>
          <w:szCs w:val="32"/>
        </w:rPr>
        <w:t>加强用工预警。</w:t>
      </w:r>
      <w:r>
        <w:rPr>
          <w:rFonts w:hint="eastAsia"/>
          <w:sz w:val="32"/>
          <w:szCs w:val="32"/>
        </w:rPr>
        <w:t>用好“用工雷达”等信息化用工监测平台，建立信息分析研判工作机制，实现对重点企业用工需求的综合监测、</w:t>
      </w:r>
      <w:r>
        <w:rPr>
          <w:rFonts w:hint="eastAsia"/>
          <w:sz w:val="32"/>
          <w:szCs w:val="32"/>
        </w:rPr>
        <w:t>分级预警、快速响应。建立智能化分类、对比、筛选机制，实现用工需求动态更新，精准主动为企业提供用工信息发布服务。完善用工异常波动应急预案，适时发布预警信息。</w:t>
      </w:r>
    </w:p>
    <w:p w:rsidR="000F7FAD" w:rsidRDefault="00BB4424">
      <w:pPr>
        <w:topLinePunct/>
        <w:autoSpaceDE w:val="0"/>
        <w:autoSpaceDN w:val="0"/>
        <w:snapToGrid w:val="0"/>
        <w:spacing w:line="580" w:lineRule="exact"/>
        <w:ind w:firstLineChars="200" w:firstLine="640"/>
        <w:rPr>
          <w:sz w:val="32"/>
          <w:szCs w:val="32"/>
        </w:rPr>
      </w:pPr>
      <w:r>
        <w:rPr>
          <w:rFonts w:ascii="楷体_GB2312" w:eastAsia="楷体_GB2312" w:hint="eastAsia"/>
          <w:sz w:val="32"/>
          <w:szCs w:val="32"/>
        </w:rPr>
        <w:t>开展用工诊断。</w:t>
      </w:r>
      <w:r>
        <w:rPr>
          <w:rFonts w:hint="eastAsia"/>
          <w:sz w:val="32"/>
          <w:szCs w:val="32"/>
        </w:rPr>
        <w:t>建立信息分析研判机制，通过聘请第三方机构、打通部门数据等方式，从公司战略、企业经营、人力管理、员工成长等方面，动态分析研判，帮助企业发现潜在管理风险，提出改善意见。建立健全行业人力资源需求预测和就业状况定期发布制度，强化人力资源市场供求分析。</w:t>
      </w:r>
    </w:p>
    <w:p w:rsidR="000F7FAD" w:rsidRDefault="00BB4424">
      <w:pPr>
        <w:pStyle w:val="20"/>
      </w:pPr>
      <w:bookmarkStart w:id="28" w:name="_Toc25837"/>
      <w:bookmarkStart w:id="29" w:name="_Toc18929"/>
      <w:r>
        <w:rPr>
          <w:rFonts w:hint="eastAsia"/>
        </w:rPr>
        <w:t>第二节</w:t>
      </w:r>
      <w:r>
        <w:rPr>
          <w:rFonts w:hint="eastAsia"/>
        </w:rPr>
        <w:t xml:space="preserve"> </w:t>
      </w:r>
      <w:r>
        <w:t xml:space="preserve"> </w:t>
      </w:r>
      <w:r>
        <w:rPr>
          <w:rFonts w:hint="eastAsia"/>
        </w:rPr>
        <w:t>优化企业用工服务</w:t>
      </w:r>
      <w:bookmarkEnd w:id="28"/>
      <w:bookmarkEnd w:id="29"/>
    </w:p>
    <w:p w:rsidR="000F7FAD" w:rsidRDefault="00BB4424">
      <w:pPr>
        <w:topLinePunct/>
        <w:autoSpaceDE w:val="0"/>
        <w:autoSpaceDN w:val="0"/>
        <w:snapToGrid w:val="0"/>
        <w:spacing w:line="600" w:lineRule="exact"/>
        <w:ind w:firstLineChars="200" w:firstLine="640"/>
        <w:rPr>
          <w:sz w:val="32"/>
          <w:szCs w:val="32"/>
        </w:rPr>
      </w:pPr>
      <w:r>
        <w:rPr>
          <w:rFonts w:ascii="楷体_GB2312" w:eastAsia="楷体_GB2312" w:hint="eastAsia"/>
          <w:sz w:val="32"/>
          <w:szCs w:val="32"/>
        </w:rPr>
        <w:t>响应企业用工需求。</w:t>
      </w:r>
      <w:r>
        <w:rPr>
          <w:rFonts w:hint="eastAsia"/>
          <w:sz w:val="32"/>
          <w:szCs w:val="32"/>
        </w:rPr>
        <w:t>建设市、镇两级用工服务专员队伍，建立重点企业用工台账</w:t>
      </w:r>
      <w:r>
        <w:rPr>
          <w:rFonts w:hint="eastAsia"/>
          <w:sz w:val="32"/>
          <w:szCs w:val="32"/>
        </w:rPr>
        <w:t>，开展用工服务专项行动。主动响应企业用工需求，采取校企合作、劳务对接等措施，适时举办“民营企业招聘月”、重点企业用工专场招聘会等活动，及时解决企业用工问题。聚焦结构性就业矛盾，根据产业转型升级需求，多措并举提升劳动者技能与岗位匹配度。</w:t>
      </w:r>
    </w:p>
    <w:p w:rsidR="000F7FAD" w:rsidRDefault="00BB4424">
      <w:pPr>
        <w:topLinePunct/>
        <w:autoSpaceDE w:val="0"/>
        <w:autoSpaceDN w:val="0"/>
        <w:snapToGrid w:val="0"/>
        <w:spacing w:line="600" w:lineRule="exact"/>
        <w:ind w:firstLineChars="200" w:firstLine="640"/>
      </w:pPr>
      <w:r>
        <w:rPr>
          <w:rFonts w:ascii="楷体_GB2312" w:eastAsia="楷体_GB2312" w:hint="eastAsia"/>
          <w:sz w:val="32"/>
          <w:szCs w:val="32"/>
        </w:rPr>
        <w:lastRenderedPageBreak/>
        <w:t>树立品质用工标杆。</w:t>
      </w:r>
      <w:r>
        <w:rPr>
          <w:rFonts w:hint="eastAsia"/>
          <w:sz w:val="32"/>
          <w:szCs w:val="32"/>
        </w:rPr>
        <w:t>探索建立品质用工标准，组织开展品质用工价值分享会，发挥优秀企业示范带动作用，发动企业学习企业，激发企业提升人力人才效能的内生动力。抓好企业人力资源经理队伍建设，规范招聘行为。引导企业推进人性化管理，提升员工福利待遇，增强员工认同感、归属感、获得感。</w:t>
      </w:r>
    </w:p>
    <w:p w:rsidR="000F7FAD" w:rsidRDefault="00BB4424">
      <w:pPr>
        <w:pStyle w:val="20"/>
      </w:pPr>
      <w:bookmarkStart w:id="30" w:name="_Toc13638"/>
      <w:bookmarkStart w:id="31" w:name="_Toc436"/>
      <w:r>
        <w:rPr>
          <w:rFonts w:hint="eastAsia"/>
        </w:rPr>
        <w:t>第三节</w:t>
      </w:r>
      <w:r>
        <w:rPr>
          <w:rFonts w:hint="eastAsia"/>
        </w:rPr>
        <w:t xml:space="preserve"> </w:t>
      </w:r>
      <w:r>
        <w:t xml:space="preserve"> </w:t>
      </w:r>
      <w:r>
        <w:rPr>
          <w:rFonts w:hint="eastAsia"/>
        </w:rPr>
        <w:t>提升企业用工效能</w:t>
      </w:r>
      <w:bookmarkEnd w:id="30"/>
      <w:bookmarkEnd w:id="31"/>
    </w:p>
    <w:p w:rsidR="000F7FAD" w:rsidRDefault="00BB4424">
      <w:pPr>
        <w:topLinePunct/>
        <w:autoSpaceDE w:val="0"/>
        <w:autoSpaceDN w:val="0"/>
        <w:snapToGrid w:val="0"/>
        <w:spacing w:line="600" w:lineRule="exact"/>
        <w:ind w:firstLineChars="200" w:firstLine="640"/>
        <w:rPr>
          <w:sz w:val="32"/>
          <w:szCs w:val="32"/>
        </w:rPr>
      </w:pPr>
      <w:r>
        <w:rPr>
          <w:rFonts w:ascii="楷体_GB2312" w:eastAsia="楷体_GB2312" w:hint="eastAsia"/>
          <w:sz w:val="32"/>
          <w:szCs w:val="32"/>
        </w:rPr>
        <w:t>强化部门联动。</w:t>
      </w:r>
      <w:r>
        <w:rPr>
          <w:rFonts w:hint="eastAsia"/>
          <w:sz w:val="32"/>
          <w:szCs w:val="32"/>
        </w:rPr>
        <w:t>联同产业、经济、科技等部门，综合施策，推动企业技术创新、智能化改造升级，减少对劳动力的依赖。发挥人力要素对技术创新、产业升级的关键作用，支持企业完善人才引育体系，有效提高企业生产率、人均利润率。</w:t>
      </w:r>
    </w:p>
    <w:p w:rsidR="000F7FAD" w:rsidRDefault="00BB4424">
      <w:pPr>
        <w:topLinePunct/>
        <w:autoSpaceDE w:val="0"/>
        <w:autoSpaceDN w:val="0"/>
        <w:snapToGrid w:val="0"/>
        <w:spacing w:line="600" w:lineRule="exact"/>
        <w:ind w:firstLineChars="200" w:firstLine="640"/>
        <w:rPr>
          <w:sz w:val="32"/>
          <w:szCs w:val="32"/>
        </w:rPr>
      </w:pPr>
      <w:r>
        <w:rPr>
          <w:rFonts w:ascii="楷体_GB2312" w:eastAsia="楷体_GB2312" w:hint="eastAsia"/>
          <w:sz w:val="32"/>
          <w:szCs w:val="32"/>
        </w:rPr>
        <w:t>提升人力效能。</w:t>
      </w:r>
      <w:r>
        <w:rPr>
          <w:rFonts w:hint="eastAsia"/>
          <w:sz w:val="32"/>
          <w:szCs w:val="32"/>
        </w:rPr>
        <w:t>探索人力人才效能模式，围绕公司战略、企业经营、人力管理、员工成长、技术改造等，推动实施效能改革，探索建设效能标准和评价体系。引导企业加大人力资本投入、塑造技能生态、构建良好人力关系、提升人力效率。</w:t>
      </w:r>
    </w:p>
    <w:p w:rsidR="000F7FAD" w:rsidRDefault="00BB4424">
      <w:pPr>
        <w:topLinePunct/>
        <w:autoSpaceDE w:val="0"/>
        <w:autoSpaceDN w:val="0"/>
        <w:snapToGrid w:val="0"/>
        <w:spacing w:line="600" w:lineRule="exact"/>
        <w:ind w:firstLineChars="200" w:firstLine="640"/>
        <w:rPr>
          <w:sz w:val="32"/>
          <w:szCs w:val="32"/>
        </w:rPr>
      </w:pPr>
      <w:r>
        <w:rPr>
          <w:rFonts w:ascii="楷体_GB2312" w:eastAsia="楷体_GB2312" w:hint="eastAsia"/>
          <w:sz w:val="32"/>
          <w:szCs w:val="32"/>
        </w:rPr>
        <w:t>促进用工自律。</w:t>
      </w:r>
      <w:r>
        <w:rPr>
          <w:rFonts w:hint="eastAsia"/>
          <w:sz w:val="32"/>
          <w:szCs w:val="32"/>
        </w:rPr>
        <w:t>充分发挥人力资源协会、院校、机构等力量，促进就业用工动态</w:t>
      </w:r>
      <w:r>
        <w:rPr>
          <w:rFonts w:hint="eastAsia"/>
          <w:sz w:val="32"/>
          <w:szCs w:val="32"/>
        </w:rPr>
        <w:t>平衡和企业用工有效对接，全面提高企业人力人才效能，有效应对人力资源市场变化。加强人力效能宣传，让企业更加重视人力人才要素，形成政府主导、企业推动、社会共治的人力效能提升工作格局。</w:t>
      </w:r>
    </w:p>
    <w:tbl>
      <w:tblPr>
        <w:tblW w:w="77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3"/>
      </w:tblGrid>
      <w:tr w:rsidR="000F7FAD">
        <w:trPr>
          <w:jc w:val="center"/>
        </w:trPr>
        <w:tc>
          <w:tcPr>
            <w:tcW w:w="7763" w:type="dxa"/>
            <w:vAlign w:val="center"/>
          </w:tcPr>
          <w:p w:rsidR="000F7FAD" w:rsidRDefault="00BB4424">
            <w:pPr>
              <w:adjustRightInd w:val="0"/>
              <w:snapToGrid w:val="0"/>
              <w:spacing w:line="480" w:lineRule="exact"/>
              <w:jc w:val="center"/>
              <w:rPr>
                <w:rFonts w:eastAsia="黑体"/>
                <w:szCs w:val="30"/>
              </w:rPr>
            </w:pPr>
            <w:r>
              <w:rPr>
                <w:rFonts w:eastAsia="黑体"/>
                <w:szCs w:val="30"/>
              </w:rPr>
              <w:t>专栏</w:t>
            </w:r>
            <w:r>
              <w:rPr>
                <w:rFonts w:eastAsia="黑体" w:hint="eastAsia"/>
                <w:szCs w:val="30"/>
              </w:rPr>
              <w:t>5</w:t>
            </w:r>
            <w:r>
              <w:rPr>
                <w:rFonts w:eastAsia="黑体"/>
                <w:szCs w:val="30"/>
              </w:rPr>
              <w:t xml:space="preserve">  </w:t>
            </w:r>
            <w:r>
              <w:rPr>
                <w:rFonts w:eastAsia="黑体" w:hint="eastAsia"/>
                <w:szCs w:val="30"/>
              </w:rPr>
              <w:t>企业用工服务建设行动</w:t>
            </w:r>
          </w:p>
        </w:tc>
      </w:tr>
      <w:tr w:rsidR="000F7FAD">
        <w:trPr>
          <w:trHeight w:val="983"/>
          <w:jc w:val="center"/>
        </w:trPr>
        <w:tc>
          <w:tcPr>
            <w:tcW w:w="7763" w:type="dxa"/>
            <w:vAlign w:val="center"/>
          </w:tcPr>
          <w:p w:rsidR="000F7FAD" w:rsidRDefault="00BB4424">
            <w:pPr>
              <w:spacing w:line="400" w:lineRule="exact"/>
              <w:ind w:firstLineChars="200" w:firstLine="482"/>
              <w:rPr>
                <w:sz w:val="24"/>
              </w:rPr>
            </w:pPr>
            <w:r>
              <w:rPr>
                <w:b/>
                <w:bCs/>
                <w:sz w:val="24"/>
              </w:rPr>
              <w:lastRenderedPageBreak/>
              <w:t>1.</w:t>
            </w:r>
            <w:r>
              <w:rPr>
                <w:b/>
                <w:bCs/>
                <w:sz w:val="24"/>
              </w:rPr>
              <w:t>升级重点企业库。</w:t>
            </w:r>
            <w:r>
              <w:rPr>
                <w:sz w:val="24"/>
              </w:rPr>
              <w:t>用好</w:t>
            </w:r>
            <w:r>
              <w:rPr>
                <w:sz w:val="24"/>
              </w:rPr>
              <w:t>“</w:t>
            </w:r>
            <w:r>
              <w:rPr>
                <w:sz w:val="24"/>
              </w:rPr>
              <w:t>就莞用</w:t>
            </w:r>
            <w:r>
              <w:rPr>
                <w:sz w:val="24"/>
              </w:rPr>
              <w:t>”</w:t>
            </w:r>
            <w:r>
              <w:rPr>
                <w:sz w:val="24"/>
              </w:rPr>
              <w:t>系统，升级打造十百千重点企业监测数据库，将头部企业、高新技术企业、</w:t>
            </w:r>
            <w:r>
              <w:rPr>
                <w:sz w:val="24"/>
              </w:rPr>
              <w:t>“</w:t>
            </w:r>
            <w:r>
              <w:rPr>
                <w:sz w:val="24"/>
              </w:rPr>
              <w:t>专精特新</w:t>
            </w:r>
            <w:r>
              <w:rPr>
                <w:sz w:val="24"/>
              </w:rPr>
              <w:t>”</w:t>
            </w:r>
            <w:r>
              <w:rPr>
                <w:sz w:val="24"/>
              </w:rPr>
              <w:t>小巨人企业等重点企业纳入监测范围，推动用工数据时时有监测、月月有分析。</w:t>
            </w:r>
          </w:p>
          <w:p w:rsidR="000F7FAD" w:rsidRDefault="00BB4424">
            <w:pPr>
              <w:spacing w:line="400" w:lineRule="exact"/>
              <w:ind w:firstLineChars="200" w:firstLine="482"/>
              <w:rPr>
                <w:sz w:val="24"/>
              </w:rPr>
            </w:pPr>
            <w:r>
              <w:rPr>
                <w:rFonts w:hint="eastAsia"/>
                <w:b/>
                <w:bCs/>
                <w:sz w:val="24"/>
              </w:rPr>
              <w:t>2</w:t>
            </w:r>
            <w:r>
              <w:rPr>
                <w:b/>
                <w:bCs/>
                <w:sz w:val="24"/>
              </w:rPr>
              <w:t>.</w:t>
            </w:r>
            <w:r>
              <w:rPr>
                <w:b/>
                <w:bCs/>
                <w:sz w:val="24"/>
              </w:rPr>
              <w:t>开展用工画像。</w:t>
            </w:r>
            <w:r>
              <w:rPr>
                <w:sz w:val="24"/>
              </w:rPr>
              <w:t>从企业经营发展、用工管理、劳资协调、参保情况、税务征缴、失信状态等方面，设立</w:t>
            </w:r>
            <w:r>
              <w:rPr>
                <w:sz w:val="24"/>
              </w:rPr>
              <w:t>17</w:t>
            </w:r>
            <w:r>
              <w:rPr>
                <w:sz w:val="24"/>
              </w:rPr>
              <w:t>个关注指标，建立企业用工画像关注指标体系，形成</w:t>
            </w:r>
            <w:r>
              <w:rPr>
                <w:sz w:val="24"/>
              </w:rPr>
              <w:t>“</w:t>
            </w:r>
            <w:r>
              <w:rPr>
                <w:sz w:val="24"/>
              </w:rPr>
              <w:t>一企一策</w:t>
            </w:r>
            <w:r>
              <w:rPr>
                <w:sz w:val="24"/>
              </w:rPr>
              <w:t>”</w:t>
            </w:r>
            <w:r>
              <w:rPr>
                <w:sz w:val="24"/>
              </w:rPr>
              <w:t>跟踪服务台账。</w:t>
            </w:r>
          </w:p>
          <w:p w:rsidR="000F7FAD" w:rsidRDefault="00BB4424">
            <w:pPr>
              <w:spacing w:line="400" w:lineRule="exact"/>
              <w:ind w:firstLineChars="200" w:firstLine="482"/>
              <w:rPr>
                <w:sz w:val="24"/>
              </w:rPr>
            </w:pPr>
            <w:r>
              <w:rPr>
                <w:rFonts w:hint="eastAsia"/>
                <w:b/>
                <w:bCs/>
                <w:sz w:val="24"/>
              </w:rPr>
              <w:t>3</w:t>
            </w:r>
            <w:r>
              <w:rPr>
                <w:b/>
                <w:bCs/>
                <w:sz w:val="24"/>
              </w:rPr>
              <w:t>.</w:t>
            </w:r>
            <w:r>
              <w:rPr>
                <w:b/>
                <w:bCs/>
                <w:sz w:val="24"/>
              </w:rPr>
              <w:t>加强用工预警。</w:t>
            </w:r>
            <w:r>
              <w:rPr>
                <w:sz w:val="24"/>
              </w:rPr>
              <w:t>实施企业用工预警处置办法，实行分级分类管理，加强企业规模性裁员和规模性用工需求的预防化解处置，确保就业局势保持稳定。</w:t>
            </w:r>
          </w:p>
          <w:p w:rsidR="000F7FAD" w:rsidRDefault="00BB4424">
            <w:pPr>
              <w:spacing w:line="400" w:lineRule="exact"/>
              <w:ind w:firstLineChars="200" w:firstLine="482"/>
              <w:rPr>
                <w:sz w:val="24"/>
              </w:rPr>
            </w:pPr>
            <w:r>
              <w:rPr>
                <w:rFonts w:hint="eastAsia"/>
                <w:b/>
                <w:bCs/>
                <w:sz w:val="24"/>
              </w:rPr>
              <w:t>4</w:t>
            </w:r>
            <w:r>
              <w:rPr>
                <w:b/>
                <w:bCs/>
                <w:sz w:val="24"/>
              </w:rPr>
              <w:t>.</w:t>
            </w:r>
            <w:r>
              <w:rPr>
                <w:b/>
                <w:bCs/>
                <w:sz w:val="24"/>
              </w:rPr>
              <w:t>提升用工效能。</w:t>
            </w:r>
            <w:r>
              <w:rPr>
                <w:sz w:val="24"/>
              </w:rPr>
              <w:t>围绕守法、劳动关系、社</w:t>
            </w:r>
            <w:r>
              <w:rPr>
                <w:sz w:val="24"/>
              </w:rPr>
              <w:t>会保障、人力开发、技能培训、人才引进、招聘等，探索搭建企业用工效能指标体系，形成可度量的用工标尺，鼓励企业对标学习。用好在减员增效、组织优化等方面具有优势的机构及协会力量，开展供需对接活动，指导企业提升人力资源管理效能和用工效能。</w:t>
            </w:r>
          </w:p>
          <w:p w:rsidR="000F7FAD" w:rsidRDefault="00BB4424">
            <w:pPr>
              <w:spacing w:line="400" w:lineRule="exact"/>
              <w:ind w:firstLineChars="200" w:firstLine="482"/>
              <w:rPr>
                <w:rFonts w:eastAsia="黑体"/>
                <w:sz w:val="24"/>
              </w:rPr>
            </w:pPr>
            <w:r>
              <w:rPr>
                <w:rFonts w:hint="eastAsia"/>
                <w:b/>
                <w:bCs/>
                <w:sz w:val="24"/>
              </w:rPr>
              <w:t>5</w:t>
            </w:r>
            <w:r>
              <w:rPr>
                <w:b/>
                <w:bCs/>
                <w:sz w:val="24"/>
              </w:rPr>
              <w:t>.</w:t>
            </w:r>
            <w:r>
              <w:rPr>
                <w:b/>
                <w:bCs/>
                <w:sz w:val="24"/>
              </w:rPr>
              <w:t>优化用工服务。</w:t>
            </w:r>
            <w:r>
              <w:rPr>
                <w:sz w:val="24"/>
              </w:rPr>
              <w:t>建立重点企业分片联系制度，成立企业用工建设行动工作组，实施十百千企</w:t>
            </w:r>
            <w:r>
              <w:rPr>
                <w:sz w:val="24"/>
              </w:rPr>
              <w:t>“</w:t>
            </w:r>
            <w:r>
              <w:rPr>
                <w:sz w:val="24"/>
              </w:rPr>
              <w:t>一对一</w:t>
            </w:r>
            <w:r>
              <w:rPr>
                <w:sz w:val="24"/>
              </w:rPr>
              <w:t>”</w:t>
            </w:r>
            <w:r>
              <w:rPr>
                <w:sz w:val="24"/>
              </w:rPr>
              <w:t>跟进服务。建立</w:t>
            </w:r>
            <w:r>
              <w:rPr>
                <w:sz w:val="24"/>
              </w:rPr>
              <w:t>“</w:t>
            </w:r>
            <w:r>
              <w:rPr>
                <w:sz w:val="24"/>
              </w:rPr>
              <w:t>春风令</w:t>
            </w:r>
            <w:r>
              <w:rPr>
                <w:sz w:val="24"/>
              </w:rPr>
              <w:t>”</w:t>
            </w:r>
            <w:r>
              <w:rPr>
                <w:sz w:val="24"/>
              </w:rPr>
              <w:t>用工服务保障机制，针对</w:t>
            </w:r>
            <w:r>
              <w:rPr>
                <w:rFonts w:hint="eastAsia"/>
                <w:sz w:val="24"/>
              </w:rPr>
              <w:t>重点</w:t>
            </w:r>
            <w:r>
              <w:rPr>
                <w:sz w:val="24"/>
              </w:rPr>
              <w:t>企业补员、增员、储备、流动四类用工需求，落实公共服务、市场对接、效能服务、共享用工等四项供给，全力保障企业用工。</w:t>
            </w:r>
          </w:p>
        </w:tc>
      </w:tr>
    </w:tbl>
    <w:p w:rsidR="000F7FAD" w:rsidRDefault="00BB4424">
      <w:pPr>
        <w:pStyle w:val="1"/>
      </w:pPr>
      <w:bookmarkStart w:id="32" w:name="_Toc5639"/>
      <w:bookmarkStart w:id="33" w:name="_Toc23356"/>
      <w:r>
        <w:rPr>
          <w:rFonts w:hint="eastAsia"/>
        </w:rPr>
        <w:t>第五章</w:t>
      </w:r>
      <w:r>
        <w:rPr>
          <w:rFonts w:hint="eastAsia"/>
        </w:rPr>
        <w:t xml:space="preserve"> </w:t>
      </w:r>
      <w:r>
        <w:t xml:space="preserve"> </w:t>
      </w:r>
      <w:r>
        <w:rPr>
          <w:rFonts w:hint="eastAsia"/>
        </w:rPr>
        <w:t>健全多层次</w:t>
      </w:r>
      <w:r>
        <w:rPr>
          <w:rFonts w:hint="eastAsia"/>
        </w:rPr>
        <w:t>社会保障体系</w:t>
      </w:r>
      <w:r>
        <w:rPr>
          <w:rFonts w:hint="eastAsia"/>
        </w:rPr>
        <w:t xml:space="preserve"> </w:t>
      </w:r>
      <w:r>
        <w:t xml:space="preserve"> </w:t>
      </w:r>
      <w:r>
        <w:rPr>
          <w:rFonts w:hint="eastAsia"/>
        </w:rPr>
        <w:t>促进社会保障事业高质量可持续发展</w:t>
      </w:r>
      <w:bookmarkEnd w:id="32"/>
      <w:bookmarkEnd w:id="33"/>
    </w:p>
    <w:p w:rsidR="000F7FAD" w:rsidRDefault="00BB4424">
      <w:pPr>
        <w:topLinePunct/>
        <w:autoSpaceDE w:val="0"/>
        <w:autoSpaceDN w:val="0"/>
        <w:snapToGrid w:val="0"/>
        <w:spacing w:line="600" w:lineRule="exact"/>
        <w:ind w:firstLineChars="200" w:firstLine="640"/>
        <w:rPr>
          <w:sz w:val="32"/>
          <w:szCs w:val="32"/>
        </w:rPr>
      </w:pPr>
      <w:r>
        <w:rPr>
          <w:rFonts w:hint="eastAsia"/>
          <w:sz w:val="32"/>
          <w:szCs w:val="32"/>
        </w:rPr>
        <w:t>坚持权责清晰、保障适度、应保尽保原则，按照兜底线、织密网、建机制的要求，建立健全覆盖全民、统筹城乡、公平统一、可持续的多层次社会保障体系。</w:t>
      </w:r>
    </w:p>
    <w:p w:rsidR="000F7FAD" w:rsidRDefault="00BB4424">
      <w:pPr>
        <w:pStyle w:val="20"/>
      </w:pPr>
      <w:bookmarkStart w:id="34" w:name="_Toc24122"/>
      <w:bookmarkStart w:id="35" w:name="_Toc13623"/>
      <w:r>
        <w:rPr>
          <w:rFonts w:hint="eastAsia"/>
        </w:rPr>
        <w:t>第一节</w:t>
      </w:r>
      <w:r>
        <w:rPr>
          <w:rFonts w:hint="eastAsia"/>
        </w:rPr>
        <w:t xml:space="preserve"> </w:t>
      </w:r>
      <w:r>
        <w:t xml:space="preserve"> </w:t>
      </w:r>
      <w:r>
        <w:rPr>
          <w:rFonts w:hint="eastAsia"/>
        </w:rPr>
        <w:t>完善社会保险体系</w:t>
      </w:r>
      <w:bookmarkEnd w:id="34"/>
      <w:bookmarkEnd w:id="35"/>
    </w:p>
    <w:p w:rsidR="000F7FAD" w:rsidRDefault="00BB4424">
      <w:pPr>
        <w:topLinePunct/>
        <w:autoSpaceDE w:val="0"/>
        <w:autoSpaceDN w:val="0"/>
        <w:snapToGrid w:val="0"/>
        <w:spacing w:line="600" w:lineRule="exact"/>
        <w:ind w:firstLineChars="200" w:firstLine="640"/>
        <w:rPr>
          <w:sz w:val="32"/>
          <w:szCs w:val="32"/>
        </w:rPr>
      </w:pPr>
      <w:r>
        <w:rPr>
          <w:rFonts w:ascii="楷体_GB2312" w:eastAsia="楷体_GB2312" w:hint="eastAsia"/>
          <w:sz w:val="32"/>
          <w:szCs w:val="32"/>
        </w:rPr>
        <w:t>全面实施全民参保计划。</w:t>
      </w:r>
      <w:r>
        <w:rPr>
          <w:rFonts w:hint="eastAsia"/>
          <w:sz w:val="32"/>
          <w:szCs w:val="32"/>
        </w:rPr>
        <w:t>构建“三支柱”多层次养老保险</w:t>
      </w:r>
      <w:r>
        <w:rPr>
          <w:rFonts w:hint="eastAsia"/>
          <w:sz w:val="32"/>
          <w:szCs w:val="32"/>
        </w:rPr>
        <w:lastRenderedPageBreak/>
        <w:t>体系，完善被征地农民养老保险政策。完善工伤预防、补偿、康复“三位一体”工伤保险制度，探索建立“康复</w:t>
      </w:r>
      <w:r>
        <w:rPr>
          <w:rFonts w:hint="eastAsia"/>
          <w:sz w:val="32"/>
          <w:szCs w:val="32"/>
        </w:rPr>
        <w:t>+</w:t>
      </w:r>
      <w:r>
        <w:rPr>
          <w:rFonts w:hint="eastAsia"/>
          <w:sz w:val="32"/>
          <w:szCs w:val="32"/>
        </w:rPr>
        <w:t>就业”全链条服务模式。</w:t>
      </w:r>
      <w:r>
        <w:rPr>
          <w:sz w:val="32"/>
          <w:szCs w:val="32"/>
        </w:rPr>
        <w:t>完善企业年金制度，扩大企业年金覆盖面，积极鼓励和引导重点行业及企业建立企业年金。</w:t>
      </w:r>
      <w:r>
        <w:rPr>
          <w:rFonts w:hint="eastAsia"/>
          <w:sz w:val="32"/>
          <w:szCs w:val="32"/>
        </w:rPr>
        <w:t>完善建筑业按项目参加工伤保险的长效机制，建</w:t>
      </w:r>
      <w:r>
        <w:rPr>
          <w:rFonts w:hint="eastAsia"/>
          <w:sz w:val="32"/>
          <w:szCs w:val="32"/>
        </w:rPr>
        <w:t>立新业态从业人员职业伤害保障制度。落实工伤保险和失业保险阶段性降低费率政策。落实港澳居民在内地参保政策，推动莞港澳社会保险规则衔接。</w:t>
      </w:r>
    </w:p>
    <w:p w:rsidR="000F7FAD" w:rsidRDefault="00BB4424">
      <w:pPr>
        <w:topLinePunct/>
        <w:autoSpaceDE w:val="0"/>
        <w:autoSpaceDN w:val="0"/>
        <w:snapToGrid w:val="0"/>
        <w:spacing w:line="600" w:lineRule="exact"/>
        <w:ind w:firstLineChars="200" w:firstLine="640"/>
        <w:rPr>
          <w:sz w:val="32"/>
          <w:szCs w:val="32"/>
        </w:rPr>
      </w:pPr>
      <w:r>
        <w:rPr>
          <w:rFonts w:ascii="楷体_GB2312" w:eastAsia="楷体_GB2312" w:hint="eastAsia"/>
          <w:sz w:val="32"/>
          <w:szCs w:val="32"/>
        </w:rPr>
        <w:t>持续扩大社保覆盖范围。</w:t>
      </w:r>
      <w:r>
        <w:rPr>
          <w:rFonts w:hint="eastAsia"/>
          <w:sz w:val="32"/>
          <w:szCs w:val="32"/>
        </w:rPr>
        <w:t>促进灵活就业人员、新就业形态从业人员等参加企业职工养老保险。落实超过法定退休年龄劳动者等特定人员参加工伤保险，做好重点行业、企业工伤保险专项工作。推进失业保险保障扩围，更好保障失业人员基本生活。建立区域联动机制，促进流动参保人员社会保险转移接续、信息共享，保障流动参保人员的参保需求。实施工伤预防五年行动计划，从源头上防止工伤事故发生。</w:t>
      </w:r>
    </w:p>
    <w:p w:rsidR="000F7FAD" w:rsidRDefault="00BB4424">
      <w:pPr>
        <w:pStyle w:val="20"/>
      </w:pPr>
      <w:bookmarkStart w:id="36" w:name="_Toc22076"/>
      <w:bookmarkStart w:id="37" w:name="_Toc2286"/>
      <w:r>
        <w:rPr>
          <w:rFonts w:hint="eastAsia"/>
        </w:rPr>
        <w:t>第二节</w:t>
      </w:r>
      <w:r>
        <w:rPr>
          <w:rFonts w:hint="eastAsia"/>
        </w:rPr>
        <w:t xml:space="preserve"> </w:t>
      </w:r>
      <w:r>
        <w:t xml:space="preserve"> </w:t>
      </w:r>
      <w:r>
        <w:rPr>
          <w:rFonts w:hint="eastAsia"/>
        </w:rPr>
        <w:t>提高社会</w:t>
      </w:r>
      <w:r>
        <w:rPr>
          <w:rFonts w:hint="eastAsia"/>
        </w:rPr>
        <w:t>保险服务能力</w:t>
      </w:r>
      <w:bookmarkEnd w:id="36"/>
      <w:bookmarkEnd w:id="37"/>
    </w:p>
    <w:p w:rsidR="000F7FAD" w:rsidRDefault="00BB4424">
      <w:pPr>
        <w:topLinePunct/>
        <w:autoSpaceDE w:val="0"/>
        <w:autoSpaceDN w:val="0"/>
        <w:snapToGrid w:val="0"/>
        <w:spacing w:line="600" w:lineRule="exact"/>
        <w:ind w:firstLineChars="200" w:firstLine="640"/>
        <w:rPr>
          <w:sz w:val="32"/>
          <w:szCs w:val="32"/>
        </w:rPr>
      </w:pPr>
      <w:r>
        <w:rPr>
          <w:rFonts w:ascii="楷体_GB2312" w:eastAsia="楷体_GB2312" w:hint="eastAsia"/>
          <w:sz w:val="32"/>
          <w:szCs w:val="32"/>
        </w:rPr>
        <w:t>稳步提升社保待遇。</w:t>
      </w:r>
      <w:r>
        <w:rPr>
          <w:rFonts w:hint="eastAsia"/>
          <w:sz w:val="32"/>
          <w:szCs w:val="32"/>
        </w:rPr>
        <w:t>全面落实城乡居民基本养老保险待遇确定和基础养老金正常调整机制，强化长缴多得、多缴多得等激励机制。落实退休人员基本养老金正常调整机制，按国家和省的统一部署提高退休人员基本养老保险金水平。完善失业保险保障标准与物价上涨挂钩联动机制，落实工伤保险长期待遇</w:t>
      </w:r>
      <w:r>
        <w:rPr>
          <w:rFonts w:hint="eastAsia"/>
          <w:sz w:val="32"/>
          <w:szCs w:val="32"/>
        </w:rPr>
        <w:lastRenderedPageBreak/>
        <w:t>调整机制，稳步提高失业、工伤保险待遇水平。</w:t>
      </w:r>
    </w:p>
    <w:p w:rsidR="000F7FAD" w:rsidRDefault="00BB4424">
      <w:pPr>
        <w:topLinePunct/>
        <w:autoSpaceDE w:val="0"/>
        <w:autoSpaceDN w:val="0"/>
        <w:snapToGrid w:val="0"/>
        <w:spacing w:line="600" w:lineRule="exact"/>
        <w:ind w:firstLineChars="200" w:firstLine="640"/>
        <w:rPr>
          <w:sz w:val="32"/>
          <w:szCs w:val="32"/>
        </w:rPr>
      </w:pPr>
      <w:r>
        <w:rPr>
          <w:rFonts w:ascii="楷体_GB2312" w:eastAsia="楷体_GB2312" w:hint="eastAsia"/>
          <w:sz w:val="32"/>
          <w:szCs w:val="32"/>
        </w:rPr>
        <w:t>升级扩容数字平台。</w:t>
      </w:r>
      <w:r>
        <w:rPr>
          <w:rFonts w:hint="eastAsia"/>
          <w:sz w:val="32"/>
          <w:szCs w:val="32"/>
        </w:rPr>
        <w:t>做好养老保险、工伤保险、失业保险等社保基金省级统筹，有序推进省集中式系统、机房改造项目等数字政府项目建设，实现上线省系统后功能从“能用”过渡到“易用”，消除信息安全隐患，</w:t>
      </w:r>
      <w:r>
        <w:rPr>
          <w:rFonts w:hint="eastAsia"/>
          <w:sz w:val="32"/>
          <w:szCs w:val="32"/>
        </w:rPr>
        <w:t>提升社保综合业务能力。推进社保档案数字化管理。</w:t>
      </w:r>
    </w:p>
    <w:p w:rsidR="000F7FAD" w:rsidRDefault="00BB4424">
      <w:pPr>
        <w:topLinePunct/>
        <w:autoSpaceDE w:val="0"/>
        <w:autoSpaceDN w:val="0"/>
        <w:snapToGrid w:val="0"/>
        <w:spacing w:line="600" w:lineRule="exact"/>
        <w:ind w:firstLineChars="200" w:firstLine="640"/>
        <w:rPr>
          <w:sz w:val="32"/>
          <w:szCs w:val="32"/>
        </w:rPr>
      </w:pPr>
      <w:r>
        <w:rPr>
          <w:rFonts w:ascii="楷体_GB2312" w:eastAsia="楷体_GB2312" w:hint="eastAsia"/>
          <w:sz w:val="32"/>
          <w:szCs w:val="32"/>
        </w:rPr>
        <w:t>优化社保经办服务。</w:t>
      </w:r>
      <w:r>
        <w:rPr>
          <w:sz w:val="32"/>
          <w:szCs w:val="32"/>
        </w:rPr>
        <w:t>推动小程序和公众号的适老化、易读化改造，完善</w:t>
      </w:r>
      <w:r>
        <w:rPr>
          <w:sz w:val="32"/>
          <w:szCs w:val="32"/>
        </w:rPr>
        <w:t>“</w:t>
      </w:r>
      <w:r>
        <w:rPr>
          <w:sz w:val="32"/>
          <w:szCs w:val="32"/>
        </w:rPr>
        <w:t>智能客服</w:t>
      </w:r>
      <w:r>
        <w:rPr>
          <w:sz w:val="32"/>
          <w:szCs w:val="32"/>
        </w:rPr>
        <w:t>”“</w:t>
      </w:r>
      <w:r>
        <w:rPr>
          <w:sz w:val="32"/>
          <w:szCs w:val="32"/>
        </w:rPr>
        <w:t>随时查</w:t>
      </w:r>
      <w:r>
        <w:rPr>
          <w:sz w:val="32"/>
          <w:szCs w:val="32"/>
        </w:rPr>
        <w:t>”</w:t>
      </w:r>
      <w:r>
        <w:rPr>
          <w:sz w:val="32"/>
          <w:szCs w:val="32"/>
        </w:rPr>
        <w:t>等创新应用，争取网办率达到</w:t>
      </w:r>
      <w:r>
        <w:rPr>
          <w:sz w:val="32"/>
          <w:szCs w:val="32"/>
        </w:rPr>
        <w:t>98%</w:t>
      </w:r>
      <w:r>
        <w:rPr>
          <w:sz w:val="32"/>
          <w:szCs w:val="32"/>
        </w:rPr>
        <w:t>，实现全程网办</w:t>
      </w:r>
      <w:r>
        <w:rPr>
          <w:rFonts w:hint="eastAsia"/>
          <w:sz w:val="32"/>
          <w:szCs w:val="32"/>
        </w:rPr>
        <w:t>。</w:t>
      </w:r>
      <w:r>
        <w:rPr>
          <w:sz w:val="32"/>
          <w:szCs w:val="32"/>
        </w:rPr>
        <w:t>推动社保服务</w:t>
      </w:r>
      <w:r>
        <w:rPr>
          <w:sz w:val="32"/>
          <w:szCs w:val="32"/>
        </w:rPr>
        <w:t>“</w:t>
      </w:r>
      <w:r>
        <w:rPr>
          <w:sz w:val="32"/>
          <w:szCs w:val="32"/>
        </w:rPr>
        <w:t>一窗式</w:t>
      </w:r>
      <w:r>
        <w:rPr>
          <w:sz w:val="32"/>
          <w:szCs w:val="32"/>
        </w:rPr>
        <w:t>”</w:t>
      </w:r>
      <w:r>
        <w:rPr>
          <w:sz w:val="32"/>
          <w:szCs w:val="32"/>
        </w:rPr>
        <w:t>改革，实行</w:t>
      </w:r>
      <w:r>
        <w:rPr>
          <w:sz w:val="32"/>
          <w:szCs w:val="32"/>
        </w:rPr>
        <w:t>“</w:t>
      </w:r>
      <w:r>
        <w:rPr>
          <w:sz w:val="32"/>
          <w:szCs w:val="32"/>
        </w:rPr>
        <w:t>前台统一收件、后台分类审批、前台统一出证</w:t>
      </w:r>
      <w:r>
        <w:rPr>
          <w:sz w:val="32"/>
          <w:szCs w:val="32"/>
        </w:rPr>
        <w:t>”</w:t>
      </w:r>
      <w:r>
        <w:rPr>
          <w:sz w:val="32"/>
          <w:szCs w:val="32"/>
        </w:rPr>
        <w:t>模式，推动</w:t>
      </w:r>
      <w:r>
        <w:rPr>
          <w:sz w:val="32"/>
          <w:szCs w:val="32"/>
        </w:rPr>
        <w:t>“</w:t>
      </w:r>
      <w:r>
        <w:rPr>
          <w:sz w:val="32"/>
          <w:szCs w:val="32"/>
        </w:rPr>
        <w:t>全窗通办</w:t>
      </w:r>
      <w:r>
        <w:rPr>
          <w:sz w:val="32"/>
          <w:szCs w:val="32"/>
        </w:rPr>
        <w:t>”</w:t>
      </w:r>
      <w:r>
        <w:rPr>
          <w:rFonts w:hint="eastAsia"/>
          <w:sz w:val="32"/>
          <w:szCs w:val="32"/>
        </w:rPr>
        <w:t>。</w:t>
      </w:r>
      <w:r>
        <w:rPr>
          <w:sz w:val="32"/>
          <w:szCs w:val="32"/>
        </w:rPr>
        <w:t>打破全市范围内区域属地办理限制，实现社保业务</w:t>
      </w:r>
      <w:r>
        <w:rPr>
          <w:sz w:val="32"/>
          <w:szCs w:val="32"/>
        </w:rPr>
        <w:t>“</w:t>
      </w:r>
      <w:r>
        <w:rPr>
          <w:sz w:val="32"/>
          <w:szCs w:val="32"/>
        </w:rPr>
        <w:t>全市通办</w:t>
      </w:r>
      <w:r>
        <w:rPr>
          <w:sz w:val="32"/>
          <w:szCs w:val="32"/>
        </w:rPr>
        <w:t>”</w:t>
      </w:r>
      <w:r>
        <w:rPr>
          <w:sz w:val="32"/>
          <w:szCs w:val="32"/>
        </w:rPr>
        <w:t>。</w:t>
      </w:r>
      <w:r>
        <w:rPr>
          <w:rFonts w:hint="eastAsia"/>
          <w:sz w:val="32"/>
          <w:szCs w:val="32"/>
        </w:rPr>
        <w:t>稳妥落实社会保险费征收方式转变，平稳完成征收职能交接和公共服务事项调整。构建</w:t>
      </w:r>
      <w:r>
        <w:rPr>
          <w:sz w:val="32"/>
          <w:szCs w:val="32"/>
        </w:rPr>
        <w:t>东莞特色</w:t>
      </w:r>
      <w:r>
        <w:rPr>
          <w:sz w:val="32"/>
          <w:szCs w:val="32"/>
        </w:rPr>
        <w:t>“1+2+4”</w:t>
      </w:r>
      <w:r>
        <w:rPr>
          <w:sz w:val="32"/>
          <w:szCs w:val="32"/>
        </w:rPr>
        <w:t>劳动能力鉴定</w:t>
      </w:r>
      <w:r>
        <w:rPr>
          <w:rFonts w:hint="eastAsia"/>
          <w:sz w:val="32"/>
          <w:szCs w:val="32"/>
        </w:rPr>
        <w:t>服务体系，提升鉴定服务效能。建设新就业形态人员参保服务体系，</w:t>
      </w:r>
      <w:r>
        <w:rPr>
          <w:sz w:val="32"/>
          <w:szCs w:val="32"/>
        </w:rPr>
        <w:t>依托</w:t>
      </w:r>
      <w:r>
        <w:rPr>
          <w:sz w:val="32"/>
          <w:szCs w:val="32"/>
        </w:rPr>
        <w:t>国家社会保险公共服务平台，为新就业形态从业人员提供网上参保登记申请等一系列便捷服务。</w:t>
      </w:r>
    </w:p>
    <w:p w:rsidR="000F7FAD" w:rsidRDefault="00BB4424">
      <w:pPr>
        <w:pStyle w:val="20"/>
      </w:pPr>
      <w:bookmarkStart w:id="38" w:name="_Toc28320"/>
      <w:bookmarkStart w:id="39" w:name="_Toc1656"/>
      <w:r>
        <w:rPr>
          <w:rFonts w:hint="eastAsia"/>
        </w:rPr>
        <w:t>第三节</w:t>
      </w:r>
      <w:r>
        <w:rPr>
          <w:rFonts w:hint="eastAsia"/>
        </w:rPr>
        <w:t xml:space="preserve"> </w:t>
      </w:r>
      <w:r>
        <w:t xml:space="preserve"> </w:t>
      </w:r>
      <w:r>
        <w:rPr>
          <w:rFonts w:hint="eastAsia"/>
        </w:rPr>
        <w:t>打造以社保卡为载体的市民卡建立居民服务“一卡通”</w:t>
      </w:r>
      <w:bookmarkEnd w:id="38"/>
      <w:bookmarkEnd w:id="39"/>
    </w:p>
    <w:p w:rsidR="000F7FAD" w:rsidRDefault="00BB4424">
      <w:pPr>
        <w:topLinePunct/>
        <w:autoSpaceDE w:val="0"/>
        <w:autoSpaceDN w:val="0"/>
        <w:snapToGrid w:val="0"/>
        <w:spacing w:line="600" w:lineRule="exact"/>
        <w:ind w:firstLineChars="200" w:firstLine="640"/>
        <w:rPr>
          <w:sz w:val="32"/>
          <w:szCs w:val="32"/>
        </w:rPr>
      </w:pPr>
      <w:r>
        <w:rPr>
          <w:rFonts w:ascii="楷体_GB2312" w:eastAsia="楷体_GB2312" w:hint="eastAsia"/>
          <w:sz w:val="32"/>
          <w:szCs w:val="32"/>
        </w:rPr>
        <w:t>推进一码通城、一卡通用。</w:t>
      </w:r>
      <w:r>
        <w:rPr>
          <w:rFonts w:hint="eastAsia"/>
          <w:sz w:val="32"/>
          <w:szCs w:val="32"/>
        </w:rPr>
        <w:t>以社保卡为线下应用载体，以电子市民码为线上功能依托，建设涵盖线上线下融合应用的东莞市民卡，将东莞市民卡打造成为以社保卡为载体居民服务“一</w:t>
      </w:r>
      <w:r>
        <w:rPr>
          <w:rFonts w:hint="eastAsia"/>
          <w:sz w:val="32"/>
          <w:szCs w:val="32"/>
        </w:rPr>
        <w:lastRenderedPageBreak/>
        <w:t>卡通”的新范例和数字政府建设新名片。</w:t>
      </w:r>
    </w:p>
    <w:p w:rsidR="000F7FAD" w:rsidRDefault="00BB4424">
      <w:pPr>
        <w:topLinePunct/>
        <w:autoSpaceDE w:val="0"/>
        <w:autoSpaceDN w:val="0"/>
        <w:snapToGrid w:val="0"/>
        <w:spacing w:line="600" w:lineRule="exact"/>
        <w:ind w:firstLineChars="200" w:firstLine="640"/>
        <w:rPr>
          <w:sz w:val="32"/>
          <w:szCs w:val="32"/>
        </w:rPr>
      </w:pPr>
      <w:r>
        <w:rPr>
          <w:rFonts w:ascii="楷体_GB2312" w:eastAsia="楷体_GB2312" w:hint="eastAsia"/>
          <w:sz w:val="32"/>
          <w:szCs w:val="32"/>
        </w:rPr>
        <w:t>推进人社卡管、政数总成。</w:t>
      </w:r>
      <w:r>
        <w:rPr>
          <w:rFonts w:hint="eastAsia"/>
          <w:sz w:val="32"/>
          <w:szCs w:val="32"/>
        </w:rPr>
        <w:t>按照市民卡建设规划布局，完善社保卡管理系统，升级社保卡应用平台，搭建社保卡“制、发、管、用”大数据应用平台，做好社保卡的身份认证、信息记录、金融功能。提升社保卡发行服务能力，将社保卡覆盖群体从参保人拓展至常住人口。将市民卡建设纳入数字政府建设体系，建设全市统一的电子市民码管理平台，形成线上线下相结合、管理应用相统一的良好机制。</w:t>
      </w:r>
    </w:p>
    <w:p w:rsidR="000F7FAD" w:rsidRDefault="00BB4424">
      <w:pPr>
        <w:topLinePunct/>
        <w:autoSpaceDE w:val="0"/>
        <w:autoSpaceDN w:val="0"/>
        <w:snapToGrid w:val="0"/>
        <w:spacing w:line="600" w:lineRule="exact"/>
        <w:ind w:firstLineChars="200" w:firstLine="640"/>
        <w:rPr>
          <w:sz w:val="32"/>
          <w:szCs w:val="32"/>
        </w:rPr>
      </w:pPr>
      <w:r>
        <w:rPr>
          <w:rFonts w:ascii="楷体_GB2312" w:eastAsia="楷体_GB2312" w:hint="eastAsia"/>
          <w:sz w:val="32"/>
          <w:szCs w:val="32"/>
        </w:rPr>
        <w:t>推进全域统筹、部门“五管”。</w:t>
      </w:r>
      <w:r>
        <w:rPr>
          <w:rFonts w:hint="eastAsia"/>
          <w:sz w:val="32"/>
          <w:szCs w:val="32"/>
        </w:rPr>
        <w:t>组建市民卡建设市级领导小组，制定市民卡建设方案、应用目录、管理办法，确定各行业主管部门“管应用、管场景、管规范、管服务、管流量”的“五管”责任机制，推动人</w:t>
      </w:r>
      <w:r>
        <w:rPr>
          <w:rFonts w:hint="eastAsia"/>
          <w:sz w:val="32"/>
          <w:szCs w:val="32"/>
        </w:rPr>
        <w:t>社领域全业务、交通出行、诊疗、文旅、优才卡、敬老卡、爱心卡、机关饭堂门禁以及民生资金一卡发放等场景应用。</w:t>
      </w:r>
    </w:p>
    <w:p w:rsidR="000F7FAD" w:rsidRDefault="00BB4424">
      <w:pPr>
        <w:topLinePunct/>
        <w:autoSpaceDE w:val="0"/>
        <w:autoSpaceDN w:val="0"/>
        <w:snapToGrid w:val="0"/>
        <w:spacing w:line="600" w:lineRule="exact"/>
        <w:ind w:firstLineChars="200" w:firstLine="640"/>
        <w:rPr>
          <w:sz w:val="32"/>
          <w:szCs w:val="32"/>
        </w:rPr>
      </w:pPr>
      <w:r>
        <w:rPr>
          <w:rFonts w:ascii="楷体_GB2312" w:eastAsia="楷体_GB2312" w:hint="eastAsia"/>
          <w:sz w:val="32"/>
          <w:szCs w:val="32"/>
        </w:rPr>
        <w:t>推进八管齐下、一卡通城。</w:t>
      </w:r>
      <w:r>
        <w:rPr>
          <w:rFonts w:hint="eastAsia"/>
          <w:sz w:val="32"/>
          <w:szCs w:val="32"/>
        </w:rPr>
        <w:t>按照一个目录管应用、一个平台管支撑、一张卡片管服务、一个电子码管贯通、一个通道管待遇、一套机制管集成、一个记录管一生和一套制度管规范的方向，加快推进社保卡在民生服务和政务服务上的便民集成。</w:t>
      </w:r>
    </w:p>
    <w:tbl>
      <w:tblPr>
        <w:tblW w:w="77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3"/>
      </w:tblGrid>
      <w:tr w:rsidR="000F7FAD">
        <w:trPr>
          <w:jc w:val="center"/>
        </w:trPr>
        <w:tc>
          <w:tcPr>
            <w:tcW w:w="7763" w:type="dxa"/>
            <w:vAlign w:val="center"/>
          </w:tcPr>
          <w:p w:rsidR="000F7FAD" w:rsidRDefault="00BB4424">
            <w:pPr>
              <w:adjustRightInd w:val="0"/>
              <w:snapToGrid w:val="0"/>
              <w:spacing w:line="480" w:lineRule="exact"/>
              <w:jc w:val="center"/>
              <w:rPr>
                <w:rFonts w:eastAsia="黑体"/>
                <w:szCs w:val="30"/>
                <w:u w:val="single"/>
              </w:rPr>
            </w:pPr>
            <w:r>
              <w:rPr>
                <w:rFonts w:eastAsia="黑体"/>
                <w:szCs w:val="30"/>
              </w:rPr>
              <w:t>专栏</w:t>
            </w:r>
            <w:r>
              <w:rPr>
                <w:rFonts w:eastAsia="黑体" w:hint="eastAsia"/>
                <w:szCs w:val="30"/>
              </w:rPr>
              <w:t>6</w:t>
            </w:r>
            <w:r>
              <w:rPr>
                <w:rFonts w:eastAsia="黑体"/>
                <w:szCs w:val="30"/>
              </w:rPr>
              <w:t xml:space="preserve">  </w:t>
            </w:r>
            <w:r>
              <w:rPr>
                <w:rFonts w:eastAsia="黑体" w:hint="eastAsia"/>
                <w:szCs w:val="30"/>
              </w:rPr>
              <w:t>以社保卡为载体</w:t>
            </w:r>
            <w:r>
              <w:rPr>
                <w:rFonts w:eastAsia="黑体"/>
                <w:szCs w:val="30"/>
              </w:rPr>
              <w:t>市民卡建设</w:t>
            </w:r>
            <w:r>
              <w:rPr>
                <w:rFonts w:eastAsia="黑体" w:hint="eastAsia"/>
                <w:szCs w:val="30"/>
              </w:rPr>
              <w:t>行动</w:t>
            </w:r>
          </w:p>
        </w:tc>
      </w:tr>
      <w:tr w:rsidR="000F7FAD">
        <w:trPr>
          <w:trHeight w:val="983"/>
          <w:jc w:val="center"/>
        </w:trPr>
        <w:tc>
          <w:tcPr>
            <w:tcW w:w="7763" w:type="dxa"/>
            <w:vAlign w:val="center"/>
          </w:tcPr>
          <w:p w:rsidR="000F7FAD" w:rsidRDefault="00BB4424">
            <w:pPr>
              <w:spacing w:line="400" w:lineRule="exact"/>
              <w:ind w:firstLineChars="200" w:firstLine="482"/>
              <w:rPr>
                <w:sz w:val="24"/>
              </w:rPr>
            </w:pPr>
            <w:r>
              <w:rPr>
                <w:b/>
                <w:bCs/>
                <w:sz w:val="24"/>
              </w:rPr>
              <w:t>1.</w:t>
            </w:r>
            <w:r>
              <w:rPr>
                <w:rFonts w:hint="eastAsia"/>
                <w:b/>
                <w:bCs/>
                <w:sz w:val="24"/>
              </w:rPr>
              <w:t>统一规划建设。</w:t>
            </w:r>
            <w:r>
              <w:rPr>
                <w:sz w:val="24"/>
                <w:lang w:bidi="ar"/>
              </w:rPr>
              <w:t>制定东莞市民卡管理办法，</w:t>
            </w:r>
            <w:r>
              <w:rPr>
                <w:sz w:val="24"/>
              </w:rPr>
              <w:t>明确功能定位、适用范围、发放对象、管理原则、部门职责等</w:t>
            </w:r>
            <w:r>
              <w:rPr>
                <w:rFonts w:hint="eastAsia"/>
                <w:sz w:val="24"/>
              </w:rPr>
              <w:t>，统一管理标准。</w:t>
            </w:r>
            <w:r>
              <w:rPr>
                <w:sz w:val="24"/>
              </w:rPr>
              <w:t>建立全市统一的实体市民卡管理平台和电子市民码管理平台</w:t>
            </w:r>
            <w:r>
              <w:rPr>
                <w:rFonts w:hint="eastAsia"/>
                <w:sz w:val="24"/>
              </w:rPr>
              <w:t>，制定统一的</w:t>
            </w:r>
            <w:r>
              <w:rPr>
                <w:sz w:val="24"/>
              </w:rPr>
              <w:t>技术标准</w:t>
            </w:r>
            <w:r>
              <w:rPr>
                <w:rFonts w:hint="eastAsia"/>
                <w:sz w:val="24"/>
              </w:rPr>
              <w:t>、</w:t>
            </w:r>
            <w:r>
              <w:rPr>
                <w:sz w:val="24"/>
              </w:rPr>
              <w:lastRenderedPageBreak/>
              <w:t>场景建设标准，提升市民卡线上线下开放接入能力。</w:t>
            </w:r>
          </w:p>
          <w:p w:rsidR="000F7FAD" w:rsidRDefault="00BB4424">
            <w:pPr>
              <w:spacing w:line="400" w:lineRule="exact"/>
              <w:ind w:firstLineChars="200" w:firstLine="482"/>
              <w:rPr>
                <w:sz w:val="24"/>
              </w:rPr>
            </w:pPr>
            <w:r>
              <w:rPr>
                <w:b/>
                <w:bCs/>
                <w:sz w:val="24"/>
              </w:rPr>
              <w:t>2.</w:t>
            </w:r>
            <w:r>
              <w:rPr>
                <w:rFonts w:hint="eastAsia"/>
                <w:b/>
                <w:bCs/>
                <w:sz w:val="24"/>
              </w:rPr>
              <w:t>加强服务管理。</w:t>
            </w:r>
            <w:r>
              <w:rPr>
                <w:sz w:val="24"/>
              </w:rPr>
              <w:t>强化实体市民卡发卡服务</w:t>
            </w:r>
            <w:r>
              <w:rPr>
                <w:rFonts w:hint="eastAsia"/>
                <w:sz w:val="24"/>
              </w:rPr>
              <w:t>，推动更多业务向移动客服端、微信小程序扩展，逐步推行常住人口发卡。</w:t>
            </w:r>
            <w:r>
              <w:rPr>
                <w:sz w:val="24"/>
              </w:rPr>
              <w:t>强化市民卡共建共享信息使用的全过程安全管理</w:t>
            </w:r>
            <w:r>
              <w:rPr>
                <w:rFonts w:hint="eastAsia"/>
                <w:sz w:val="24"/>
              </w:rPr>
              <w:t>，落实信息安全责任，实行实时监控。</w:t>
            </w:r>
            <w:r>
              <w:rPr>
                <w:sz w:val="24"/>
              </w:rPr>
              <w:t>强化运营推广，以财政补贴撬动社会资金培育引流业务，</w:t>
            </w:r>
            <w:r>
              <w:rPr>
                <w:rFonts w:hint="eastAsia"/>
                <w:sz w:val="24"/>
              </w:rPr>
              <w:t>开展优惠促用活动，</w:t>
            </w:r>
            <w:r>
              <w:rPr>
                <w:sz w:val="24"/>
              </w:rPr>
              <w:t>提高市民卡活跃度。</w:t>
            </w:r>
          </w:p>
          <w:p w:rsidR="000F7FAD" w:rsidRDefault="00BB4424">
            <w:pPr>
              <w:spacing w:line="400" w:lineRule="exact"/>
              <w:ind w:firstLineChars="200" w:firstLine="482"/>
              <w:rPr>
                <w:sz w:val="24"/>
                <w:u w:val="single"/>
                <w:lang w:bidi="ar"/>
              </w:rPr>
            </w:pPr>
            <w:r>
              <w:rPr>
                <w:b/>
                <w:bCs/>
                <w:sz w:val="24"/>
              </w:rPr>
              <w:t>3.</w:t>
            </w:r>
            <w:r>
              <w:rPr>
                <w:rFonts w:hint="eastAsia"/>
                <w:b/>
                <w:bCs/>
                <w:sz w:val="24"/>
              </w:rPr>
              <w:t>拓展</w:t>
            </w:r>
            <w:r>
              <w:rPr>
                <w:b/>
                <w:bCs/>
                <w:sz w:val="24"/>
              </w:rPr>
              <w:t>场景应用。</w:t>
            </w:r>
            <w:r>
              <w:rPr>
                <w:sz w:val="24"/>
              </w:rPr>
              <w:t>围绕城市生活</w:t>
            </w:r>
            <w:r>
              <w:rPr>
                <w:sz w:val="24"/>
              </w:rPr>
              <w:t>“</w:t>
            </w:r>
            <w:r>
              <w:rPr>
                <w:sz w:val="24"/>
              </w:rPr>
              <w:t>一码通</w:t>
            </w:r>
            <w:r>
              <w:rPr>
                <w:sz w:val="24"/>
              </w:rPr>
              <w:t>”</w:t>
            </w:r>
            <w:r>
              <w:rPr>
                <w:sz w:val="24"/>
              </w:rPr>
              <w:t>、居民服务</w:t>
            </w:r>
            <w:r>
              <w:rPr>
                <w:sz w:val="24"/>
              </w:rPr>
              <w:t>“</w:t>
            </w:r>
            <w:r>
              <w:rPr>
                <w:sz w:val="24"/>
              </w:rPr>
              <w:t>一卡通</w:t>
            </w:r>
            <w:r>
              <w:rPr>
                <w:sz w:val="24"/>
              </w:rPr>
              <w:t>”</w:t>
            </w:r>
            <w:r>
              <w:rPr>
                <w:sz w:val="24"/>
              </w:rPr>
              <w:t>的总体目标，加快市民卡政务和民生领域服务融合集成，推进政务服</w:t>
            </w:r>
            <w:r>
              <w:rPr>
                <w:sz w:val="24"/>
              </w:rPr>
              <w:t>务、公共交通、医疗服务、文旅体验、资金发放、生活消费、公共场所、校园生活、信用消费等全生态应用。</w:t>
            </w:r>
          </w:p>
        </w:tc>
      </w:tr>
    </w:tbl>
    <w:p w:rsidR="000F7FAD" w:rsidRDefault="00BB4424">
      <w:pPr>
        <w:pStyle w:val="20"/>
      </w:pPr>
      <w:bookmarkStart w:id="40" w:name="_Toc2778"/>
      <w:bookmarkStart w:id="41" w:name="_Toc3464"/>
      <w:r>
        <w:rPr>
          <w:rFonts w:hint="eastAsia"/>
        </w:rPr>
        <w:lastRenderedPageBreak/>
        <w:t>第四节</w:t>
      </w:r>
      <w:r>
        <w:rPr>
          <w:rFonts w:hint="eastAsia"/>
        </w:rPr>
        <w:t xml:space="preserve"> </w:t>
      </w:r>
      <w:r>
        <w:t xml:space="preserve"> </w:t>
      </w:r>
      <w:r>
        <w:rPr>
          <w:rFonts w:hint="eastAsia"/>
        </w:rPr>
        <w:t>促进基金安全可持续运行</w:t>
      </w:r>
      <w:bookmarkEnd w:id="40"/>
      <w:bookmarkEnd w:id="41"/>
    </w:p>
    <w:p w:rsidR="000F7FAD" w:rsidRDefault="00BB4424">
      <w:pPr>
        <w:topLinePunct/>
        <w:autoSpaceDE w:val="0"/>
        <w:autoSpaceDN w:val="0"/>
        <w:snapToGrid w:val="0"/>
        <w:spacing w:line="600" w:lineRule="exact"/>
        <w:ind w:firstLineChars="200" w:firstLine="640"/>
        <w:rPr>
          <w:sz w:val="32"/>
          <w:szCs w:val="32"/>
        </w:rPr>
      </w:pPr>
      <w:r>
        <w:rPr>
          <w:rFonts w:ascii="楷体_GB2312" w:eastAsia="楷体_GB2312" w:hint="eastAsia"/>
          <w:sz w:val="32"/>
          <w:szCs w:val="32"/>
        </w:rPr>
        <w:t>加大社保基金监管力度。</w:t>
      </w:r>
      <w:r>
        <w:rPr>
          <w:rFonts w:hint="eastAsia"/>
          <w:sz w:val="32"/>
          <w:szCs w:val="32"/>
        </w:rPr>
        <w:t>健全基金监督体系，加强基金监督队伍建设，加大对侵害社会保险基金行为的监测、防控和查处力度。按照国家和省有关规定，稳妥推进社保基金投资运营，确保基金保值增值。采取行政非诉等多种手段，加大基金待遇追回力度。稳妥推进社保基金运行流程管理，防范职务犯罪，保障社保基金运营安全。</w:t>
      </w:r>
    </w:p>
    <w:p w:rsidR="000F7FAD" w:rsidRDefault="00BB4424">
      <w:pPr>
        <w:topLinePunct/>
        <w:autoSpaceDE w:val="0"/>
        <w:autoSpaceDN w:val="0"/>
        <w:snapToGrid w:val="0"/>
        <w:spacing w:line="600" w:lineRule="exact"/>
        <w:ind w:firstLineChars="200" w:firstLine="640"/>
        <w:rPr>
          <w:sz w:val="32"/>
          <w:szCs w:val="32"/>
        </w:rPr>
      </w:pPr>
      <w:r>
        <w:rPr>
          <w:rFonts w:ascii="楷体_GB2312" w:eastAsia="楷体_GB2312" w:hint="eastAsia"/>
          <w:sz w:val="32"/>
          <w:szCs w:val="32"/>
        </w:rPr>
        <w:t>加强社保经办风险防控。</w:t>
      </w:r>
      <w:r>
        <w:rPr>
          <w:rFonts w:hint="eastAsia"/>
          <w:sz w:val="32"/>
          <w:szCs w:val="32"/>
        </w:rPr>
        <w:t>加强社保经办稽核内控，通过数据共享比对筛查重点核查的疑点数据，加大高风险业务监督检查力度。定期开展社保基金管理绩效评估，提高社保基金管理效率。配合推行省集中支付，提高社保基金风险预警能力，确保基金管理始终安全有序。</w:t>
      </w:r>
    </w:p>
    <w:p w:rsidR="000F7FAD" w:rsidRDefault="00BB4424">
      <w:pPr>
        <w:spacing w:line="560" w:lineRule="exact"/>
        <w:ind w:firstLineChars="200" w:firstLine="640"/>
      </w:pPr>
      <w:r>
        <w:rPr>
          <w:rFonts w:ascii="楷体_GB2312" w:eastAsia="楷体_GB2312" w:hint="eastAsia"/>
          <w:sz w:val="32"/>
          <w:szCs w:val="32"/>
        </w:rPr>
        <w:t>加大</w:t>
      </w:r>
      <w:r>
        <w:rPr>
          <w:rFonts w:ascii="楷体_GB2312" w:eastAsia="楷体_GB2312" w:hint="eastAsia"/>
          <w:sz w:val="32"/>
          <w:szCs w:val="32"/>
        </w:rPr>
        <w:t>基金安全宣传力度。</w:t>
      </w:r>
      <w:r>
        <w:rPr>
          <w:sz w:val="32"/>
          <w:szCs w:val="32"/>
          <w:shd w:val="clear" w:color="auto" w:fill="FFFFFF"/>
        </w:rPr>
        <w:t>大力开展</w:t>
      </w:r>
      <w:r>
        <w:rPr>
          <w:rFonts w:hint="eastAsia"/>
          <w:sz w:val="32"/>
          <w:szCs w:val="32"/>
          <w:shd w:val="clear" w:color="auto" w:fill="FFFFFF"/>
        </w:rPr>
        <w:t>社保</w:t>
      </w:r>
      <w:r>
        <w:rPr>
          <w:sz w:val="32"/>
          <w:szCs w:val="32"/>
          <w:shd w:val="clear" w:color="auto" w:fill="FFFFFF"/>
        </w:rPr>
        <w:t>法治宣传教育，</w:t>
      </w:r>
      <w:r>
        <w:rPr>
          <w:rFonts w:hint="eastAsia"/>
          <w:sz w:val="32"/>
          <w:szCs w:val="32"/>
        </w:rPr>
        <w:t>坚</w:t>
      </w:r>
      <w:r>
        <w:rPr>
          <w:rFonts w:hint="eastAsia"/>
          <w:sz w:val="32"/>
          <w:szCs w:val="32"/>
        </w:rPr>
        <w:lastRenderedPageBreak/>
        <w:t>持正面引导和反面曝光并行，结合纪律教育月和普法宣传月活动，宣传社保基金的重要性、欺诈骗保的类型和后果，引导全社会主动维护基金安全。加大违法行为曝光，以行政非诉执行为切入点，集中曝光一批典型欺诈骗保行为，形成震慑效应。</w:t>
      </w:r>
    </w:p>
    <w:p w:rsidR="000F7FAD" w:rsidRDefault="00BB4424">
      <w:pPr>
        <w:pStyle w:val="1"/>
      </w:pPr>
      <w:bookmarkStart w:id="42" w:name="_Toc25825"/>
      <w:bookmarkStart w:id="43" w:name="_Toc10564"/>
      <w:r>
        <w:rPr>
          <w:rFonts w:hint="eastAsia"/>
        </w:rPr>
        <w:t>第六章</w:t>
      </w:r>
      <w:r>
        <w:rPr>
          <w:rFonts w:hint="eastAsia"/>
        </w:rPr>
        <w:t xml:space="preserve">  </w:t>
      </w:r>
      <w:r>
        <w:rPr>
          <w:rFonts w:hint="eastAsia"/>
        </w:rPr>
        <w:t>实施新一轮“十百千万百万”人才工程</w:t>
      </w:r>
      <w:r>
        <w:rPr>
          <w:rFonts w:hint="eastAsia"/>
        </w:rPr>
        <w:t xml:space="preserve">  </w:t>
      </w:r>
      <w:r>
        <w:t>打造大湾区人才集聚新高地</w:t>
      </w:r>
      <w:bookmarkEnd w:id="42"/>
      <w:bookmarkEnd w:id="43"/>
    </w:p>
    <w:p w:rsidR="000F7FAD" w:rsidRDefault="00BB4424">
      <w:pPr>
        <w:topLinePunct/>
        <w:autoSpaceDE w:val="0"/>
        <w:autoSpaceDN w:val="0"/>
        <w:snapToGrid w:val="0"/>
        <w:spacing w:line="600" w:lineRule="exact"/>
        <w:ind w:firstLineChars="200" w:firstLine="640"/>
        <w:rPr>
          <w:sz w:val="32"/>
          <w:szCs w:val="32"/>
        </w:rPr>
      </w:pPr>
      <w:r>
        <w:rPr>
          <w:rFonts w:hint="eastAsia"/>
          <w:sz w:val="32"/>
          <w:szCs w:val="32"/>
        </w:rPr>
        <w:t>聚焦科技创新和先进制造，实施新一轮“十百千万百万”人才工程，吹响“是人才、进莞来”的引才号角，推进人才发展机制改革、政策创新、服务优化，</w:t>
      </w:r>
      <w:r>
        <w:rPr>
          <w:sz w:val="32"/>
          <w:szCs w:val="32"/>
        </w:rPr>
        <w:t>完善人才</w:t>
      </w:r>
      <w:r>
        <w:rPr>
          <w:sz w:val="32"/>
          <w:szCs w:val="32"/>
        </w:rPr>
        <w:t>“</w:t>
      </w:r>
      <w:r>
        <w:rPr>
          <w:sz w:val="32"/>
          <w:szCs w:val="32"/>
        </w:rPr>
        <w:t>引育用留管</w:t>
      </w:r>
      <w:r>
        <w:rPr>
          <w:sz w:val="32"/>
          <w:szCs w:val="32"/>
        </w:rPr>
        <w:t>”</w:t>
      </w:r>
      <w:r>
        <w:rPr>
          <w:sz w:val="32"/>
          <w:szCs w:val="32"/>
        </w:rPr>
        <w:t>制度安排，</w:t>
      </w:r>
      <w:r>
        <w:rPr>
          <w:rFonts w:hint="eastAsia"/>
          <w:sz w:val="32"/>
          <w:szCs w:val="32"/>
        </w:rPr>
        <w:t>促进人口优势转化为人才优势，加快打造大湾区人才集聚新高地。</w:t>
      </w:r>
    </w:p>
    <w:p w:rsidR="000F7FAD" w:rsidRDefault="00BB4424">
      <w:pPr>
        <w:pStyle w:val="20"/>
      </w:pPr>
      <w:bookmarkStart w:id="44" w:name="_Toc6824"/>
      <w:bookmarkStart w:id="45" w:name="_Toc18108"/>
      <w:r>
        <w:rPr>
          <w:rFonts w:hint="eastAsia"/>
        </w:rPr>
        <w:t>第一节</w:t>
      </w:r>
      <w:r>
        <w:rPr>
          <w:rFonts w:hint="eastAsia"/>
        </w:rPr>
        <w:t xml:space="preserve"> </w:t>
      </w:r>
      <w:r>
        <w:t xml:space="preserve"> </w:t>
      </w:r>
      <w:r>
        <w:rPr>
          <w:rFonts w:hint="eastAsia"/>
        </w:rPr>
        <w:t>构建高水平人才发展体制</w:t>
      </w:r>
      <w:bookmarkEnd w:id="44"/>
      <w:bookmarkEnd w:id="45"/>
    </w:p>
    <w:p w:rsidR="000F7FAD" w:rsidRDefault="00BB4424">
      <w:pPr>
        <w:adjustRightInd w:val="0"/>
        <w:snapToGrid w:val="0"/>
        <w:spacing w:line="600" w:lineRule="exact"/>
        <w:ind w:firstLineChars="200" w:firstLine="640"/>
        <w:rPr>
          <w:sz w:val="32"/>
          <w:szCs w:val="32"/>
        </w:rPr>
      </w:pPr>
      <w:r>
        <w:rPr>
          <w:rFonts w:ascii="楷体_GB2312" w:eastAsia="楷体_GB2312" w:hint="eastAsia"/>
          <w:sz w:val="32"/>
          <w:szCs w:val="32"/>
        </w:rPr>
        <w:t>优化人才政策体系。</w:t>
      </w:r>
      <w:r>
        <w:rPr>
          <w:rFonts w:hint="eastAsia"/>
          <w:sz w:val="32"/>
          <w:szCs w:val="32"/>
        </w:rPr>
        <w:t>加快实施特色人才、创新人才、本科学历人才、研发人才、经济贡献奖励等配套政策，优化扶持措施，加大资助力度，促进人才政策更精准对接产业发展。创新招商人才培养机制，公开遴选知名院校硕士以上学历的招商专业人才，打造高素质专业化招商队伍。鼓励园区、镇（街）结合产业特色加大政策配套，强化市镇两级人才政策叠加效应。</w:t>
      </w:r>
    </w:p>
    <w:p w:rsidR="000F7FAD" w:rsidRDefault="00BB4424">
      <w:pPr>
        <w:topLinePunct/>
        <w:autoSpaceDE w:val="0"/>
        <w:autoSpaceDN w:val="0"/>
        <w:snapToGrid w:val="0"/>
        <w:spacing w:line="600" w:lineRule="exact"/>
        <w:ind w:firstLineChars="200" w:firstLine="640"/>
        <w:rPr>
          <w:sz w:val="32"/>
          <w:szCs w:val="32"/>
        </w:rPr>
      </w:pPr>
      <w:r>
        <w:rPr>
          <w:rFonts w:ascii="楷体_GB2312" w:eastAsia="楷体_GB2312" w:hint="eastAsia"/>
          <w:sz w:val="32"/>
          <w:szCs w:val="32"/>
        </w:rPr>
        <w:t>优化人才引育机制。</w:t>
      </w:r>
      <w:r>
        <w:rPr>
          <w:rFonts w:hint="eastAsia"/>
          <w:sz w:val="32"/>
          <w:szCs w:val="32"/>
        </w:rPr>
        <w:t>推动博士、博士后平台扩容提质，完</w:t>
      </w:r>
      <w:r>
        <w:rPr>
          <w:rFonts w:hint="eastAsia"/>
          <w:sz w:val="32"/>
          <w:szCs w:val="32"/>
        </w:rPr>
        <w:lastRenderedPageBreak/>
        <w:t>善国内人才工作</w:t>
      </w:r>
      <w:r>
        <w:rPr>
          <w:rFonts w:hint="eastAsia"/>
          <w:sz w:val="32"/>
          <w:szCs w:val="32"/>
        </w:rPr>
        <w:t>站建设，广泛开展招才引智活动。支持院校科研平台、人才孵化平台、重点实验室等载体建设，打造一批高能级人才平台。实施百名博士专业</w:t>
      </w:r>
      <w:r>
        <w:rPr>
          <w:rFonts w:hint="eastAsia"/>
          <w:sz w:val="32"/>
          <w:szCs w:val="32"/>
        </w:rPr>
        <w:t>人才等人才计划，积极引进一批优秀青年硕博人才。办好“高层次人才活动周”“名企名校行”等活动，促进人才、项目与我市企业精准对接。</w:t>
      </w:r>
    </w:p>
    <w:p w:rsidR="000F7FAD" w:rsidRDefault="00BB4424">
      <w:pPr>
        <w:topLinePunct/>
        <w:autoSpaceDE w:val="0"/>
        <w:autoSpaceDN w:val="0"/>
        <w:snapToGrid w:val="0"/>
        <w:spacing w:line="600" w:lineRule="exact"/>
        <w:ind w:firstLineChars="200" w:firstLine="640"/>
        <w:rPr>
          <w:sz w:val="32"/>
          <w:szCs w:val="32"/>
        </w:rPr>
      </w:pPr>
      <w:r>
        <w:rPr>
          <w:rFonts w:ascii="楷体_GB2312" w:eastAsia="楷体_GB2312" w:hint="eastAsia"/>
          <w:sz w:val="32"/>
          <w:szCs w:val="32"/>
        </w:rPr>
        <w:t>完善人才发现机制。</w:t>
      </w:r>
      <w:r>
        <w:rPr>
          <w:rFonts w:hint="eastAsia"/>
          <w:sz w:val="32"/>
          <w:szCs w:val="32"/>
        </w:rPr>
        <w:t>打造急需紧缺人才供求信息平台，加强重点领域、重点产业人才资源供给状况和流动趋势研判。绘制全市重点产业人才地图，摸清产业、企业人才需求和各地院校人才分布，推动人才地图与产业地图、招商地图匹配。</w:t>
      </w:r>
    </w:p>
    <w:p w:rsidR="000F7FAD" w:rsidRDefault="00BB4424">
      <w:pPr>
        <w:topLinePunct/>
        <w:autoSpaceDE w:val="0"/>
        <w:autoSpaceDN w:val="0"/>
        <w:snapToGrid w:val="0"/>
        <w:spacing w:line="600" w:lineRule="exact"/>
        <w:ind w:firstLineChars="200" w:firstLine="640"/>
        <w:rPr>
          <w:sz w:val="32"/>
          <w:szCs w:val="32"/>
        </w:rPr>
      </w:pPr>
      <w:r>
        <w:rPr>
          <w:rFonts w:ascii="楷体_GB2312" w:eastAsia="楷体_GB2312" w:hint="eastAsia"/>
          <w:sz w:val="32"/>
          <w:szCs w:val="32"/>
        </w:rPr>
        <w:t>激发创新人才活力。</w:t>
      </w:r>
      <w:r>
        <w:rPr>
          <w:rFonts w:hint="eastAsia"/>
          <w:sz w:val="32"/>
          <w:szCs w:val="32"/>
        </w:rPr>
        <w:t>探索向重点大科学装置、基础研</w:t>
      </w:r>
      <w:r>
        <w:rPr>
          <w:rFonts w:hint="eastAsia"/>
          <w:sz w:val="32"/>
          <w:szCs w:val="32"/>
        </w:rPr>
        <w:t>究平台、研发机构、高校下放特色人才评定认定权限，加快急需紧缺人才的引育留用。对接大科学装置和基础科研平台等人才需求，探索对特定“双聘制”高端人才给予与全职引进人才同等政策待遇，破除高层次人才流动机制障碍。</w:t>
      </w:r>
    </w:p>
    <w:p w:rsidR="000F7FAD" w:rsidRDefault="00BB4424">
      <w:pPr>
        <w:topLinePunct/>
        <w:autoSpaceDE w:val="0"/>
        <w:autoSpaceDN w:val="0"/>
        <w:snapToGrid w:val="0"/>
        <w:spacing w:line="600" w:lineRule="exact"/>
        <w:ind w:firstLineChars="200" w:firstLine="640"/>
        <w:rPr>
          <w:sz w:val="32"/>
          <w:szCs w:val="32"/>
        </w:rPr>
      </w:pPr>
      <w:r>
        <w:rPr>
          <w:rFonts w:ascii="楷体_GB2312" w:eastAsia="楷体_GB2312" w:hint="eastAsia"/>
          <w:sz w:val="32"/>
          <w:szCs w:val="32"/>
        </w:rPr>
        <w:t>做优做强“人才圈”。</w:t>
      </w:r>
      <w:r>
        <w:rPr>
          <w:rFonts w:hint="eastAsia"/>
          <w:sz w:val="32"/>
          <w:szCs w:val="32"/>
        </w:rPr>
        <w:t>建立博士、博士后平台交流机制，开展多元化学术科研交流、产学研考察活动，</w:t>
      </w:r>
      <w:r>
        <w:rPr>
          <w:sz w:val="32"/>
          <w:szCs w:val="32"/>
        </w:rPr>
        <w:t>形成人才放心工作、安心创业、舒心生活的良好氛围</w:t>
      </w:r>
      <w:r>
        <w:rPr>
          <w:rFonts w:hint="eastAsia"/>
          <w:sz w:val="32"/>
          <w:szCs w:val="32"/>
        </w:rPr>
        <w:t>。推动招商引资与招才引智实质联动，构建与产业需求和企业需要相匹配的人才圈层，做强高质量发展的人才矩阵。</w:t>
      </w:r>
    </w:p>
    <w:p w:rsidR="000F7FAD" w:rsidRDefault="00BB4424">
      <w:pPr>
        <w:pStyle w:val="20"/>
      </w:pPr>
      <w:bookmarkStart w:id="46" w:name="_Toc12004"/>
      <w:bookmarkStart w:id="47" w:name="_Toc8458"/>
      <w:r>
        <w:rPr>
          <w:rFonts w:hint="eastAsia"/>
        </w:rPr>
        <w:t>第二节</w:t>
      </w:r>
      <w:r>
        <w:rPr>
          <w:rFonts w:hint="eastAsia"/>
        </w:rPr>
        <w:t xml:space="preserve"> </w:t>
      </w:r>
      <w:r>
        <w:t xml:space="preserve"> </w:t>
      </w:r>
      <w:r>
        <w:rPr>
          <w:rFonts w:hint="eastAsia"/>
        </w:rPr>
        <w:t>建设高层次专业技术人才队伍</w:t>
      </w:r>
      <w:bookmarkEnd w:id="46"/>
      <w:bookmarkEnd w:id="47"/>
    </w:p>
    <w:p w:rsidR="000F7FAD" w:rsidRDefault="00BB4424">
      <w:pPr>
        <w:topLinePunct/>
        <w:autoSpaceDE w:val="0"/>
        <w:autoSpaceDN w:val="0"/>
        <w:snapToGrid w:val="0"/>
        <w:spacing w:line="600" w:lineRule="exact"/>
        <w:ind w:firstLineChars="200" w:firstLine="640"/>
        <w:rPr>
          <w:sz w:val="32"/>
          <w:szCs w:val="32"/>
        </w:rPr>
      </w:pPr>
      <w:r>
        <w:rPr>
          <w:rFonts w:ascii="楷体_GB2312" w:eastAsia="楷体_GB2312" w:hint="eastAsia"/>
          <w:sz w:val="32"/>
          <w:szCs w:val="32"/>
        </w:rPr>
        <w:lastRenderedPageBreak/>
        <w:t>加强高层次专业技术人才引进。</w:t>
      </w:r>
      <w:r>
        <w:rPr>
          <w:rFonts w:hint="eastAsia"/>
          <w:sz w:val="32"/>
          <w:szCs w:val="32"/>
        </w:rPr>
        <w:t>聚焦打造新动能，加大研发人才、产业发展人才、科技创新人才、</w:t>
      </w:r>
      <w:r>
        <w:rPr>
          <w:sz w:val="32"/>
          <w:szCs w:val="32"/>
        </w:rPr>
        <w:t>数字人才的引进培育力度，</w:t>
      </w:r>
      <w:r>
        <w:rPr>
          <w:kern w:val="0"/>
          <w:sz w:val="32"/>
          <w:szCs w:val="32"/>
          <w:lang w:bidi="ar"/>
        </w:rPr>
        <w:t>符合条件的</w:t>
      </w:r>
      <w:r>
        <w:rPr>
          <w:rFonts w:hint="eastAsia"/>
          <w:kern w:val="0"/>
          <w:sz w:val="32"/>
          <w:szCs w:val="32"/>
          <w:lang w:bidi="ar"/>
        </w:rPr>
        <w:t>特色人才</w:t>
      </w:r>
      <w:r>
        <w:rPr>
          <w:kern w:val="0"/>
          <w:sz w:val="32"/>
          <w:szCs w:val="32"/>
          <w:lang w:bidi="ar"/>
        </w:rPr>
        <w:t>给予</w:t>
      </w:r>
      <w:r>
        <w:rPr>
          <w:rFonts w:hint="eastAsia"/>
          <w:kern w:val="0"/>
          <w:sz w:val="32"/>
          <w:szCs w:val="32"/>
          <w:lang w:bidi="ar"/>
        </w:rPr>
        <w:t>最高</w:t>
      </w:r>
      <w:r>
        <w:rPr>
          <w:kern w:val="0"/>
          <w:sz w:val="32"/>
          <w:szCs w:val="32"/>
          <w:lang w:bidi="ar"/>
        </w:rPr>
        <w:t>2000</w:t>
      </w:r>
      <w:r>
        <w:rPr>
          <w:kern w:val="0"/>
          <w:sz w:val="32"/>
          <w:szCs w:val="32"/>
          <w:lang w:bidi="ar"/>
        </w:rPr>
        <w:t>万元创业类免抵押、免担保信用贷款</w:t>
      </w:r>
      <w:r>
        <w:rPr>
          <w:kern w:val="0"/>
          <w:sz w:val="32"/>
          <w:szCs w:val="32"/>
          <w:lang w:bidi="ar"/>
        </w:rPr>
        <w:t>。</w:t>
      </w:r>
      <w:r>
        <w:rPr>
          <w:rFonts w:hint="eastAsia"/>
          <w:sz w:val="32"/>
          <w:szCs w:val="32"/>
        </w:rPr>
        <w:t>依托科研院所、高校、新型研发机构等平台和重大基础研究、科技项目，完善高层次专技人才甄选、引进和使用机制。加强柔性引才，适当放宽急需紧缺人才在岗位数量、工资总额等方面限制，开辟高层次专技人才引进“绿色通道”。</w:t>
      </w:r>
    </w:p>
    <w:p w:rsidR="000F7FAD" w:rsidRDefault="00BB4424">
      <w:pPr>
        <w:topLinePunct/>
        <w:autoSpaceDE w:val="0"/>
        <w:autoSpaceDN w:val="0"/>
        <w:snapToGrid w:val="0"/>
        <w:spacing w:line="600" w:lineRule="exact"/>
        <w:ind w:firstLineChars="200" w:firstLine="640"/>
        <w:rPr>
          <w:sz w:val="32"/>
          <w:szCs w:val="32"/>
        </w:rPr>
      </w:pPr>
      <w:r>
        <w:rPr>
          <w:rFonts w:ascii="楷体_GB2312" w:eastAsia="楷体_GB2312" w:hint="eastAsia"/>
          <w:sz w:val="32"/>
          <w:szCs w:val="32"/>
        </w:rPr>
        <w:t>深化专业技术职称制度改革。</w:t>
      </w:r>
      <w:r>
        <w:rPr>
          <w:rFonts w:hint="eastAsia"/>
          <w:sz w:val="32"/>
          <w:szCs w:val="32"/>
        </w:rPr>
        <w:t>落实乡村振兴等人才职称评审，加快前沿技术、新业态、新职业职称评价。合理下放职称评</w:t>
      </w:r>
      <w:r>
        <w:rPr>
          <w:rFonts w:hint="eastAsia"/>
          <w:sz w:val="32"/>
          <w:szCs w:val="32"/>
        </w:rPr>
        <w:t>审权限，支持新型研发机构、高新技术企业、大型骨干企业开展自主评审。畅通职称申报渠道，支持高技能人才参加职称评审。落实港澳职业资格认可制度，促进创新要素便利流动。</w:t>
      </w:r>
    </w:p>
    <w:p w:rsidR="000F7FAD" w:rsidRDefault="00BB4424">
      <w:pPr>
        <w:topLinePunct/>
        <w:autoSpaceDE w:val="0"/>
        <w:autoSpaceDN w:val="0"/>
        <w:snapToGrid w:val="0"/>
        <w:spacing w:line="600" w:lineRule="exact"/>
        <w:ind w:firstLineChars="200" w:firstLine="640"/>
        <w:rPr>
          <w:sz w:val="32"/>
          <w:szCs w:val="32"/>
        </w:rPr>
      </w:pPr>
      <w:r>
        <w:rPr>
          <w:rFonts w:ascii="楷体_GB2312" w:eastAsia="楷体_GB2312" w:hint="eastAsia"/>
          <w:sz w:val="32"/>
          <w:szCs w:val="32"/>
        </w:rPr>
        <w:t>强化高层次专业技术人才培养。</w:t>
      </w:r>
      <w:r>
        <w:rPr>
          <w:rFonts w:hint="eastAsia"/>
          <w:sz w:val="32"/>
          <w:szCs w:val="32"/>
        </w:rPr>
        <w:t>加快智能制造、绿色低碳、生物医药、文化创意、网络信息、人工智能、知识产权、新材料、新能源等专业职称评价，培养与产业发展相匹配的高层次人才。实施专业技术人才知识更新工程，推动专业技术人才继续教育常态化。</w:t>
      </w:r>
    </w:p>
    <w:p w:rsidR="000F7FAD" w:rsidRDefault="00BB4424">
      <w:pPr>
        <w:pStyle w:val="20"/>
      </w:pPr>
      <w:bookmarkStart w:id="48" w:name="_Toc25457"/>
      <w:bookmarkStart w:id="49" w:name="_Toc22120"/>
      <w:r>
        <w:rPr>
          <w:rFonts w:hint="eastAsia"/>
        </w:rPr>
        <w:t>第三节</w:t>
      </w:r>
      <w:r>
        <w:rPr>
          <w:rFonts w:hint="eastAsia"/>
        </w:rPr>
        <w:t xml:space="preserve">  </w:t>
      </w:r>
      <w:r>
        <w:rPr>
          <w:rFonts w:hint="eastAsia"/>
        </w:rPr>
        <w:t>提升人才综合服务能力</w:t>
      </w:r>
      <w:bookmarkEnd w:id="48"/>
      <w:bookmarkEnd w:id="49"/>
    </w:p>
    <w:p w:rsidR="000F7FAD" w:rsidRDefault="00BB4424">
      <w:pPr>
        <w:topLinePunct/>
        <w:autoSpaceDE w:val="0"/>
        <w:autoSpaceDN w:val="0"/>
        <w:snapToGrid w:val="0"/>
        <w:spacing w:line="600" w:lineRule="exact"/>
        <w:ind w:firstLineChars="200" w:firstLine="640"/>
        <w:rPr>
          <w:sz w:val="32"/>
          <w:szCs w:val="32"/>
        </w:rPr>
      </w:pPr>
      <w:r>
        <w:rPr>
          <w:rFonts w:ascii="楷体_GB2312" w:eastAsia="楷体_GB2312" w:hint="eastAsia"/>
          <w:sz w:val="32"/>
          <w:szCs w:val="32"/>
        </w:rPr>
        <w:t>畅通人才流动渠道。</w:t>
      </w:r>
      <w:r>
        <w:rPr>
          <w:rFonts w:hint="eastAsia"/>
          <w:sz w:val="32"/>
          <w:szCs w:val="32"/>
        </w:rPr>
        <w:t>健全市场化、社会化人才服务体系，</w:t>
      </w:r>
      <w:r>
        <w:rPr>
          <w:rFonts w:hint="eastAsia"/>
          <w:sz w:val="32"/>
          <w:szCs w:val="32"/>
        </w:rPr>
        <w:lastRenderedPageBreak/>
        <w:t>大力发展专业性、行业性人才市场，积极培育各类专业社会组织和人才中介服务机构。优化外籍人才服务，推动人才开放、交流与合作。加强流动人员人事档案信息化建设，做好人才人事档案库房建设和库房使用规划，为人才跨地区、跨行业、跨体制流动提供便利条件。</w:t>
      </w:r>
    </w:p>
    <w:p w:rsidR="000F7FAD" w:rsidRDefault="00BB4424">
      <w:pPr>
        <w:topLinePunct/>
        <w:autoSpaceDE w:val="0"/>
        <w:autoSpaceDN w:val="0"/>
        <w:snapToGrid w:val="0"/>
        <w:spacing w:line="600" w:lineRule="exact"/>
        <w:ind w:firstLineChars="200" w:firstLine="640"/>
        <w:rPr>
          <w:sz w:val="32"/>
          <w:szCs w:val="32"/>
        </w:rPr>
      </w:pPr>
      <w:r>
        <w:rPr>
          <w:rFonts w:ascii="楷体_GB2312" w:eastAsia="楷体_GB2312" w:hint="eastAsia"/>
          <w:sz w:val="32"/>
          <w:szCs w:val="32"/>
        </w:rPr>
        <w:t>建设人才服务平台。</w:t>
      </w:r>
      <w:r>
        <w:rPr>
          <w:rFonts w:hint="eastAsia"/>
          <w:sz w:val="32"/>
          <w:szCs w:val="32"/>
        </w:rPr>
        <w:t>实施数字化赋能，建设“东莞智慧人才服务平台”，落实“政策直通车”服务，实行“一口受理、内部流转、集成服务、限时办结”的“一门式”服务，实现政策找人、人才奖补的快速兑现，提升政策通达率和兑现率，提高人才服务数智化水平。</w:t>
      </w:r>
    </w:p>
    <w:p w:rsidR="000F7FAD" w:rsidRDefault="00BB4424">
      <w:pPr>
        <w:topLinePunct/>
        <w:autoSpaceDE w:val="0"/>
        <w:autoSpaceDN w:val="0"/>
        <w:snapToGrid w:val="0"/>
        <w:spacing w:line="600" w:lineRule="exact"/>
        <w:ind w:firstLineChars="200" w:firstLine="640"/>
        <w:rPr>
          <w:sz w:val="32"/>
          <w:szCs w:val="32"/>
        </w:rPr>
      </w:pPr>
      <w:r>
        <w:rPr>
          <w:rFonts w:ascii="楷体_GB2312" w:eastAsia="楷体_GB2312" w:hint="eastAsia"/>
          <w:sz w:val="32"/>
          <w:szCs w:val="32"/>
        </w:rPr>
        <w:t>加强</w:t>
      </w:r>
      <w:r>
        <w:rPr>
          <w:rFonts w:ascii="楷体_GB2312" w:eastAsia="楷体_GB2312" w:hint="eastAsia"/>
          <w:sz w:val="32"/>
          <w:szCs w:val="32"/>
        </w:rPr>
        <w:t>人才服务保障。</w:t>
      </w:r>
      <w:r>
        <w:rPr>
          <w:rFonts w:hint="eastAsia"/>
          <w:sz w:val="32"/>
          <w:szCs w:val="32"/>
        </w:rPr>
        <w:t>完善人才激励关怀机制和领导联系服务制度，及时跟进人才所需所求，解决人才在莞后顾之忧。完善优才服务中心、“双创中心”、国际人才“一站式”服务窗口等平台服务功能，</w:t>
      </w:r>
      <w:r>
        <w:rPr>
          <w:sz w:val="32"/>
          <w:szCs w:val="32"/>
        </w:rPr>
        <w:t>推广</w:t>
      </w:r>
      <w:r>
        <w:rPr>
          <w:rFonts w:hint="eastAsia"/>
          <w:sz w:val="32"/>
          <w:szCs w:val="32"/>
        </w:rPr>
        <w:t>优才中心服务模式，逐步形成市、镇联动的专业化人才服务体系，提供“一对一”“一站式”标准化全链条服务。</w:t>
      </w:r>
    </w:p>
    <w:tbl>
      <w:tblPr>
        <w:tblW w:w="77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3"/>
      </w:tblGrid>
      <w:tr w:rsidR="000F7FAD">
        <w:trPr>
          <w:jc w:val="center"/>
        </w:trPr>
        <w:tc>
          <w:tcPr>
            <w:tcW w:w="7763" w:type="dxa"/>
            <w:vAlign w:val="center"/>
          </w:tcPr>
          <w:p w:rsidR="000F7FAD" w:rsidRDefault="00BB4424">
            <w:pPr>
              <w:adjustRightInd w:val="0"/>
              <w:snapToGrid w:val="0"/>
              <w:spacing w:line="480" w:lineRule="exact"/>
              <w:jc w:val="center"/>
              <w:rPr>
                <w:rFonts w:eastAsia="黑体"/>
                <w:szCs w:val="32"/>
              </w:rPr>
            </w:pPr>
            <w:r>
              <w:rPr>
                <w:rFonts w:eastAsia="黑体"/>
                <w:szCs w:val="32"/>
              </w:rPr>
              <w:t>专栏</w:t>
            </w:r>
            <w:r>
              <w:rPr>
                <w:rFonts w:eastAsia="黑体" w:hint="eastAsia"/>
                <w:szCs w:val="32"/>
              </w:rPr>
              <w:t>7</w:t>
            </w:r>
            <w:r>
              <w:rPr>
                <w:rFonts w:eastAsia="黑体"/>
                <w:szCs w:val="32"/>
              </w:rPr>
              <w:t xml:space="preserve">  </w:t>
            </w:r>
            <w:r>
              <w:rPr>
                <w:rFonts w:eastAsia="黑体"/>
                <w:szCs w:val="30"/>
              </w:rPr>
              <w:t>人才服务</w:t>
            </w:r>
            <w:r>
              <w:rPr>
                <w:rFonts w:eastAsia="黑体" w:hint="eastAsia"/>
                <w:szCs w:val="30"/>
              </w:rPr>
              <w:t>提质增效</w:t>
            </w:r>
            <w:r>
              <w:rPr>
                <w:rFonts w:eastAsia="黑体"/>
                <w:szCs w:val="30"/>
              </w:rPr>
              <w:t>行动</w:t>
            </w:r>
          </w:p>
        </w:tc>
      </w:tr>
      <w:tr w:rsidR="000F7FAD">
        <w:trPr>
          <w:trHeight w:val="558"/>
          <w:jc w:val="center"/>
        </w:trPr>
        <w:tc>
          <w:tcPr>
            <w:tcW w:w="7763" w:type="dxa"/>
            <w:vAlign w:val="center"/>
          </w:tcPr>
          <w:p w:rsidR="000F7FAD" w:rsidRDefault="00BB4424">
            <w:pPr>
              <w:adjustRightInd w:val="0"/>
              <w:snapToGrid w:val="0"/>
              <w:spacing w:line="400" w:lineRule="exact"/>
              <w:ind w:firstLineChars="200" w:firstLine="482"/>
              <w:rPr>
                <w:spacing w:val="6"/>
                <w:sz w:val="24"/>
              </w:rPr>
            </w:pPr>
            <w:r>
              <w:rPr>
                <w:b/>
                <w:sz w:val="24"/>
              </w:rPr>
              <w:t>1.</w:t>
            </w:r>
            <w:r>
              <w:rPr>
                <w:b/>
                <w:sz w:val="24"/>
              </w:rPr>
              <w:t>实施优才专享服务。</w:t>
            </w:r>
            <w:r>
              <w:rPr>
                <w:spacing w:val="6"/>
                <w:sz w:val="24"/>
              </w:rPr>
              <w:t>逐步拓宽优才卡配套服务功能，扩大</w:t>
            </w:r>
            <w:r>
              <w:rPr>
                <w:spacing w:val="6"/>
                <w:sz w:val="24"/>
              </w:rPr>
              <w:t>“</w:t>
            </w:r>
            <w:r>
              <w:rPr>
                <w:spacing w:val="6"/>
                <w:sz w:val="24"/>
              </w:rPr>
              <w:t>优才卡</w:t>
            </w:r>
            <w:r>
              <w:rPr>
                <w:spacing w:val="6"/>
                <w:sz w:val="24"/>
              </w:rPr>
              <w:t>”</w:t>
            </w:r>
            <w:r>
              <w:rPr>
                <w:spacing w:val="6"/>
                <w:sz w:val="24"/>
              </w:rPr>
              <w:t>服务事项和覆盖面，提升优才卡含金量，</w:t>
            </w:r>
            <w:r>
              <w:rPr>
                <w:rFonts w:hint="eastAsia"/>
                <w:spacing w:val="6"/>
                <w:sz w:val="24"/>
              </w:rPr>
              <w:t>响应</w:t>
            </w:r>
            <w:r>
              <w:rPr>
                <w:spacing w:val="6"/>
                <w:sz w:val="24"/>
              </w:rPr>
              <w:t>持卡人才需求，举办优才卡专场交流赋能活动，开展持卡人才定期访问，切实增强持卡人才的尊荣感。</w:t>
            </w:r>
          </w:p>
          <w:p w:rsidR="000F7FAD" w:rsidRDefault="00BB4424">
            <w:pPr>
              <w:adjustRightInd w:val="0"/>
              <w:snapToGrid w:val="0"/>
              <w:spacing w:line="400" w:lineRule="exact"/>
              <w:ind w:firstLineChars="200" w:firstLine="506"/>
              <w:rPr>
                <w:sz w:val="24"/>
              </w:rPr>
            </w:pPr>
            <w:r>
              <w:rPr>
                <w:rFonts w:hint="eastAsia"/>
                <w:b/>
                <w:bCs/>
                <w:spacing w:val="6"/>
                <w:sz w:val="24"/>
              </w:rPr>
              <w:t>2.</w:t>
            </w:r>
            <w:r>
              <w:rPr>
                <w:rFonts w:hint="eastAsia"/>
                <w:b/>
                <w:bCs/>
                <w:sz w:val="24"/>
              </w:rPr>
              <w:t>配强</w:t>
            </w:r>
            <w:r>
              <w:rPr>
                <w:b/>
                <w:bCs/>
                <w:sz w:val="24"/>
              </w:rPr>
              <w:t>人才服</w:t>
            </w:r>
            <w:r>
              <w:rPr>
                <w:b/>
                <w:sz w:val="24"/>
              </w:rPr>
              <w:t>务队伍。</w:t>
            </w:r>
            <w:r>
              <w:rPr>
                <w:sz w:val="24"/>
              </w:rPr>
              <w:t>设立人才服务专员、人才服务官，</w:t>
            </w:r>
            <w:r>
              <w:rPr>
                <w:spacing w:val="6"/>
                <w:sz w:val="24"/>
              </w:rPr>
              <w:t>开展人才政策培训交流活动，定期开展重点企业和人才走访活动，全面响应企</w:t>
            </w:r>
            <w:r>
              <w:rPr>
                <w:spacing w:val="6"/>
                <w:sz w:val="24"/>
              </w:rPr>
              <w:lastRenderedPageBreak/>
              <w:t>业和人才需求。建立</w:t>
            </w:r>
            <w:r>
              <w:rPr>
                <w:sz w:val="24"/>
              </w:rPr>
              <w:t>人才志愿服务队，壮大人才服务力量，让人才更好地服务人才。</w:t>
            </w:r>
          </w:p>
          <w:p w:rsidR="000F7FAD" w:rsidRDefault="00BB4424">
            <w:pPr>
              <w:adjustRightInd w:val="0"/>
              <w:snapToGrid w:val="0"/>
              <w:spacing w:line="400" w:lineRule="exact"/>
              <w:ind w:firstLineChars="200" w:firstLine="482"/>
              <w:rPr>
                <w:sz w:val="24"/>
              </w:rPr>
            </w:pPr>
            <w:r>
              <w:rPr>
                <w:rFonts w:hint="eastAsia"/>
                <w:b/>
                <w:sz w:val="24"/>
              </w:rPr>
              <w:t>3</w:t>
            </w:r>
            <w:r>
              <w:rPr>
                <w:b/>
                <w:sz w:val="24"/>
              </w:rPr>
              <w:t>.</w:t>
            </w:r>
            <w:r>
              <w:rPr>
                <w:rFonts w:hint="eastAsia"/>
                <w:b/>
                <w:sz w:val="24"/>
              </w:rPr>
              <w:t>打造“人才政策直通车”品牌。</w:t>
            </w:r>
            <w:r>
              <w:rPr>
                <w:rFonts w:hint="eastAsia"/>
                <w:sz w:val="24"/>
              </w:rPr>
              <w:t>做好“东莞人社”“智汇东莞”“东莞就业人才服务”等平台推广，梳理人才政策“一本通”，畅通宣传、查询渠道，实现各类人才随时能搜索、可获取，提升政策通达率。大规模开展人才政策入企宣传活动，及时将人</w:t>
            </w:r>
            <w:r>
              <w:rPr>
                <w:rFonts w:hint="eastAsia"/>
                <w:sz w:val="24"/>
              </w:rPr>
              <w:t>才政策和服务“送上门”。</w:t>
            </w:r>
          </w:p>
          <w:p w:rsidR="000F7FAD" w:rsidRDefault="00BB4424">
            <w:pPr>
              <w:adjustRightInd w:val="0"/>
              <w:snapToGrid w:val="0"/>
              <w:spacing w:line="400" w:lineRule="exact"/>
              <w:ind w:firstLineChars="200" w:firstLine="506"/>
              <w:rPr>
                <w:sz w:val="24"/>
              </w:rPr>
            </w:pPr>
            <w:r>
              <w:rPr>
                <w:rFonts w:hint="eastAsia"/>
                <w:b/>
                <w:bCs/>
                <w:spacing w:val="6"/>
                <w:sz w:val="24"/>
              </w:rPr>
              <w:t>4</w:t>
            </w:r>
            <w:r>
              <w:rPr>
                <w:b/>
                <w:bCs/>
                <w:sz w:val="24"/>
              </w:rPr>
              <w:t>.</w:t>
            </w:r>
            <w:r>
              <w:rPr>
                <w:rFonts w:hint="eastAsia"/>
                <w:b/>
                <w:bCs/>
                <w:sz w:val="24"/>
              </w:rPr>
              <w:t>开展人</w:t>
            </w:r>
            <w:r>
              <w:rPr>
                <w:rFonts w:hint="eastAsia"/>
                <w:b/>
                <w:sz w:val="24"/>
              </w:rPr>
              <w:t>才交流活动</w:t>
            </w:r>
            <w:r>
              <w:rPr>
                <w:b/>
                <w:sz w:val="24"/>
              </w:rPr>
              <w:t>。</w:t>
            </w:r>
            <w:r>
              <w:rPr>
                <w:sz w:val="24"/>
              </w:rPr>
              <w:t>定期举办</w:t>
            </w:r>
            <w:r>
              <w:rPr>
                <w:rFonts w:hint="eastAsia"/>
                <w:sz w:val="24"/>
              </w:rPr>
              <w:t>人才沙龙、</w:t>
            </w:r>
            <w:r>
              <w:rPr>
                <w:sz w:val="24"/>
              </w:rPr>
              <w:t>人才论坛、人才周末等专题活动，吸引一批具有影响力的学术会议、研讨峰会等活动落地，营造高层次人才交流集聚的良好氛围。实施新的工作标准和激励标准，</w:t>
            </w:r>
            <w:r>
              <w:rPr>
                <w:rFonts w:hint="eastAsia"/>
                <w:sz w:val="24"/>
              </w:rPr>
              <w:t>更好发挥</w:t>
            </w:r>
            <w:r>
              <w:rPr>
                <w:sz w:val="24"/>
              </w:rPr>
              <w:t>国内人才工作站</w:t>
            </w:r>
            <w:r>
              <w:rPr>
                <w:rFonts w:hint="eastAsia"/>
                <w:sz w:val="24"/>
              </w:rPr>
              <w:t>在</w:t>
            </w:r>
            <w:r>
              <w:rPr>
                <w:sz w:val="24"/>
              </w:rPr>
              <w:t>招才引智</w:t>
            </w:r>
            <w:r>
              <w:rPr>
                <w:rFonts w:hint="eastAsia"/>
                <w:sz w:val="24"/>
              </w:rPr>
              <w:t>方面的作用</w:t>
            </w:r>
            <w:r>
              <w:rPr>
                <w:sz w:val="24"/>
              </w:rPr>
              <w:t>。</w:t>
            </w:r>
          </w:p>
        </w:tc>
      </w:tr>
    </w:tbl>
    <w:p w:rsidR="000F7FAD" w:rsidRDefault="00BB4424">
      <w:pPr>
        <w:pStyle w:val="20"/>
      </w:pPr>
      <w:bookmarkStart w:id="50" w:name="_Toc30071"/>
      <w:bookmarkStart w:id="51" w:name="_Toc6889"/>
      <w:r>
        <w:rPr>
          <w:rFonts w:hint="eastAsia"/>
        </w:rPr>
        <w:t>第四节</w:t>
      </w:r>
      <w:r>
        <w:rPr>
          <w:rFonts w:hint="eastAsia"/>
        </w:rPr>
        <w:t xml:space="preserve"> </w:t>
      </w:r>
      <w:r>
        <w:t xml:space="preserve"> </w:t>
      </w:r>
      <w:r>
        <w:rPr>
          <w:rFonts w:hint="eastAsia"/>
        </w:rPr>
        <w:t>深化事业单位人事制度改革</w:t>
      </w:r>
      <w:bookmarkEnd w:id="50"/>
      <w:bookmarkEnd w:id="51"/>
    </w:p>
    <w:p w:rsidR="000F7FAD" w:rsidRDefault="00BB4424">
      <w:pPr>
        <w:spacing w:line="600" w:lineRule="exact"/>
        <w:ind w:firstLineChars="200" w:firstLine="640"/>
        <w:rPr>
          <w:sz w:val="32"/>
          <w:szCs w:val="32"/>
        </w:rPr>
      </w:pPr>
      <w:r>
        <w:rPr>
          <w:rFonts w:ascii="楷体_GB2312" w:eastAsia="楷体_GB2312" w:hint="eastAsia"/>
          <w:sz w:val="32"/>
          <w:szCs w:val="32"/>
        </w:rPr>
        <w:t>完善事业单位岗位管理制度。</w:t>
      </w:r>
      <w:r>
        <w:rPr>
          <w:rFonts w:hint="eastAsia"/>
          <w:sz w:val="32"/>
          <w:szCs w:val="32"/>
        </w:rPr>
        <w:t>按照省统一部署，稳步推进事业单位管理岗位职员等级晋升。建立专业技术岗位区域动态调整机制，统筹用好沉淀和低效配置岗位资源。加强岗位聘用管理，动态调整专业技术岗位结构，设置特设岗位，放宽岗位聘用条件，支持事业单位引才育才。加强基层末端执行力建设，组织开展面向优秀村（社区）党组织书记招聘镇（街道）事业编制人员。开发事业单位人员特色课程，创新情景模拟、现场实操等培训模式，提高培训效能。</w:t>
      </w:r>
    </w:p>
    <w:p w:rsidR="000F7FAD" w:rsidRDefault="00BB4424">
      <w:pPr>
        <w:topLinePunct/>
        <w:autoSpaceDE w:val="0"/>
        <w:autoSpaceDN w:val="0"/>
        <w:snapToGrid w:val="0"/>
        <w:spacing w:line="600" w:lineRule="exact"/>
        <w:ind w:firstLineChars="200" w:firstLine="640"/>
        <w:rPr>
          <w:sz w:val="32"/>
          <w:szCs w:val="32"/>
        </w:rPr>
      </w:pPr>
      <w:r>
        <w:rPr>
          <w:rFonts w:ascii="楷体_GB2312" w:eastAsia="楷体_GB2312" w:hint="eastAsia"/>
          <w:sz w:val="32"/>
          <w:szCs w:val="32"/>
        </w:rPr>
        <w:t>推动事业单位薪酬制度改革。</w:t>
      </w:r>
      <w:r>
        <w:rPr>
          <w:rFonts w:hint="eastAsia"/>
          <w:sz w:val="32"/>
          <w:szCs w:val="32"/>
        </w:rPr>
        <w:t>完善事业单位改革配套保障激励政策，支持事业单位按照“保基本、强激励”的原则分类有序搞活内部分配，激发事业单位和人员活力。深化事业单位管理岗位职员等级晋升制度工资待遇配套政策改革。按照国家</w:t>
      </w:r>
      <w:r>
        <w:rPr>
          <w:rFonts w:hint="eastAsia"/>
          <w:sz w:val="32"/>
          <w:szCs w:val="32"/>
        </w:rPr>
        <w:lastRenderedPageBreak/>
        <w:t>和省部署及时调整事业单位工作人员基本工资标准。</w:t>
      </w:r>
      <w:r>
        <w:rPr>
          <w:rFonts w:hint="eastAsia"/>
          <w:sz w:val="32"/>
          <w:szCs w:val="32"/>
        </w:rPr>
        <w:t>以符合行业特点、体现知识价值为重点，探索推进公立医院、高校、科研机构等领域薪酬分配制度改革。</w:t>
      </w:r>
    </w:p>
    <w:p w:rsidR="000F7FAD" w:rsidRDefault="00BB4424">
      <w:pPr>
        <w:spacing w:line="600" w:lineRule="exact"/>
        <w:ind w:firstLineChars="200" w:firstLine="640"/>
        <w:rPr>
          <w:sz w:val="32"/>
          <w:szCs w:val="32"/>
        </w:rPr>
      </w:pPr>
      <w:r>
        <w:rPr>
          <w:rFonts w:ascii="楷体_GB2312" w:eastAsia="楷体_GB2312" w:hint="eastAsia"/>
          <w:sz w:val="32"/>
          <w:szCs w:val="32"/>
        </w:rPr>
        <w:t>健全事业单位激励保障机制。</w:t>
      </w:r>
      <w:r>
        <w:rPr>
          <w:rFonts w:hint="eastAsia"/>
          <w:sz w:val="32"/>
          <w:szCs w:val="32"/>
        </w:rPr>
        <w:t>深化事业单位工作人员奖励规定，建立定期奖励与及时奖励相结合的常态化奖励机制，以年度考核、聘（任）期考核结果及作出显著成绩和贡献为参考，拓宽人才激励途径，</w:t>
      </w:r>
      <w:r>
        <w:rPr>
          <w:rFonts w:hint="eastAsia"/>
          <w:sz w:val="32"/>
          <w:szCs w:val="32"/>
        </w:rPr>
        <w:t>提高人才的成就感和认同感。抓好表彰奖励项目化管理，做好表彰奖励项目申报工作，更好发挥表彰奖励影响效应。</w:t>
      </w:r>
    </w:p>
    <w:p w:rsidR="000F7FAD" w:rsidRDefault="00BB4424">
      <w:pPr>
        <w:pStyle w:val="1"/>
        <w:rPr>
          <w:spacing w:val="-10"/>
        </w:rPr>
      </w:pPr>
      <w:bookmarkStart w:id="52" w:name="_Toc9517"/>
      <w:bookmarkStart w:id="53" w:name="_Toc3106"/>
      <w:r>
        <w:rPr>
          <w:rFonts w:hint="eastAsia"/>
        </w:rPr>
        <w:t>第七章</w:t>
      </w:r>
      <w:r>
        <w:rPr>
          <w:rFonts w:hint="eastAsia"/>
        </w:rPr>
        <w:t xml:space="preserve">  </w:t>
      </w:r>
      <w:r>
        <w:rPr>
          <w:rFonts w:hint="eastAsia"/>
          <w:spacing w:val="-10"/>
        </w:rPr>
        <w:t>深化“技能人才之都”建设</w:t>
      </w:r>
      <w:r>
        <w:rPr>
          <w:rFonts w:hint="eastAsia"/>
          <w:spacing w:val="-10"/>
        </w:rPr>
        <w:t xml:space="preserve"> </w:t>
      </w:r>
      <w:r>
        <w:rPr>
          <w:spacing w:val="-10"/>
        </w:rPr>
        <w:t xml:space="preserve"> </w:t>
      </w:r>
      <w:r>
        <w:rPr>
          <w:rFonts w:hint="eastAsia"/>
          <w:spacing w:val="-10"/>
        </w:rPr>
        <w:t>推动三项工程高质量发展</w:t>
      </w:r>
      <w:bookmarkEnd w:id="52"/>
      <w:bookmarkEnd w:id="53"/>
    </w:p>
    <w:p w:rsidR="000F7FAD" w:rsidRDefault="00BB4424">
      <w:pPr>
        <w:topLinePunct/>
        <w:autoSpaceDE w:val="0"/>
        <w:autoSpaceDN w:val="0"/>
        <w:snapToGrid w:val="0"/>
        <w:spacing w:line="600" w:lineRule="exact"/>
        <w:ind w:firstLineChars="200" w:firstLine="640"/>
        <w:rPr>
          <w:sz w:val="32"/>
          <w:szCs w:val="32"/>
        </w:rPr>
      </w:pPr>
      <w:r>
        <w:rPr>
          <w:rFonts w:hint="eastAsia"/>
          <w:sz w:val="32"/>
          <w:szCs w:val="32"/>
        </w:rPr>
        <w:t>对接大湾区先进制造新高地建设需要，深化</w:t>
      </w:r>
      <w:r>
        <w:rPr>
          <w:sz w:val="32"/>
          <w:szCs w:val="32"/>
        </w:rPr>
        <w:t>“</w:t>
      </w:r>
      <w:r>
        <w:rPr>
          <w:sz w:val="32"/>
          <w:szCs w:val="32"/>
        </w:rPr>
        <w:t>技能人才之都</w:t>
      </w:r>
      <w:r>
        <w:rPr>
          <w:sz w:val="32"/>
          <w:szCs w:val="32"/>
        </w:rPr>
        <w:t>”</w:t>
      </w:r>
      <w:r>
        <w:rPr>
          <w:sz w:val="32"/>
          <w:szCs w:val="32"/>
        </w:rPr>
        <w:t>建设，扎实推进产业工人队伍建设改革，深化职业教育产教融合，依托先进制造业优势引育</w:t>
      </w:r>
      <w:r>
        <w:rPr>
          <w:rFonts w:hint="eastAsia"/>
          <w:sz w:val="32"/>
          <w:szCs w:val="32"/>
        </w:rPr>
        <w:t>更多</w:t>
      </w:r>
      <w:r>
        <w:rPr>
          <w:sz w:val="32"/>
          <w:szCs w:val="32"/>
        </w:rPr>
        <w:t>优秀技能人才，</w:t>
      </w:r>
      <w:r>
        <w:rPr>
          <w:rFonts w:hint="eastAsia"/>
          <w:sz w:val="32"/>
          <w:szCs w:val="32"/>
        </w:rPr>
        <w:t>“粤菜师傅”“广东技工”“南粤家政”三项工程扎实推进，把东莞打造成为全国技能人才的向往之地和成长之地。</w:t>
      </w:r>
    </w:p>
    <w:p w:rsidR="000F7FAD" w:rsidRDefault="00BB4424">
      <w:pPr>
        <w:pStyle w:val="20"/>
      </w:pPr>
      <w:bookmarkStart w:id="54" w:name="_Toc6296"/>
      <w:bookmarkStart w:id="55" w:name="_Toc9275"/>
      <w:r>
        <w:rPr>
          <w:rFonts w:hint="eastAsia"/>
        </w:rPr>
        <w:t>第一节</w:t>
      </w:r>
      <w:r>
        <w:rPr>
          <w:rFonts w:hint="eastAsia"/>
        </w:rPr>
        <w:t xml:space="preserve"> </w:t>
      </w:r>
      <w:r>
        <w:t xml:space="preserve"> </w:t>
      </w:r>
      <w:r>
        <w:rPr>
          <w:rFonts w:hint="eastAsia"/>
        </w:rPr>
        <w:t>强化技能政策</w:t>
      </w:r>
      <w:bookmarkEnd w:id="54"/>
      <w:bookmarkEnd w:id="55"/>
    </w:p>
    <w:p w:rsidR="000F7FAD" w:rsidRDefault="00BB4424">
      <w:pPr>
        <w:topLinePunct/>
        <w:autoSpaceDE w:val="0"/>
        <w:autoSpaceDN w:val="0"/>
        <w:snapToGrid w:val="0"/>
        <w:spacing w:line="600" w:lineRule="exact"/>
        <w:ind w:firstLineChars="200" w:firstLine="640"/>
        <w:rPr>
          <w:sz w:val="32"/>
          <w:szCs w:val="32"/>
        </w:rPr>
      </w:pPr>
      <w:r>
        <w:rPr>
          <w:rFonts w:ascii="楷体_GB2312" w:eastAsia="楷体_GB2312" w:hint="eastAsia"/>
          <w:sz w:val="32"/>
          <w:szCs w:val="32"/>
        </w:rPr>
        <w:t>完善技能人才培养政策体系。</w:t>
      </w:r>
      <w:r>
        <w:rPr>
          <w:rFonts w:hint="eastAsia"/>
          <w:sz w:val="32"/>
          <w:szCs w:val="32"/>
        </w:rPr>
        <w:t>制定实施“技能人才之都”</w:t>
      </w:r>
      <w:r>
        <w:rPr>
          <w:rFonts w:hint="eastAsia"/>
          <w:sz w:val="32"/>
          <w:szCs w:val="32"/>
        </w:rPr>
        <w:t>2.0</w:t>
      </w:r>
      <w:r>
        <w:rPr>
          <w:rFonts w:hint="eastAsia"/>
          <w:sz w:val="32"/>
          <w:szCs w:val="32"/>
        </w:rPr>
        <w:t>版“</w:t>
      </w:r>
      <w:r>
        <w:rPr>
          <w:rFonts w:hint="eastAsia"/>
          <w:sz w:val="32"/>
          <w:szCs w:val="32"/>
        </w:rPr>
        <w:t>1+N</w:t>
      </w:r>
      <w:r>
        <w:rPr>
          <w:rFonts w:hint="eastAsia"/>
          <w:sz w:val="32"/>
          <w:szCs w:val="32"/>
        </w:rPr>
        <w:t>”政策，根据产业发展需要动态调整，提升政策吸引力。发挥财政资金撬动作用，优化培训工种项目设置，增强</w:t>
      </w:r>
      <w:r>
        <w:rPr>
          <w:rFonts w:hint="eastAsia"/>
          <w:sz w:val="32"/>
          <w:szCs w:val="32"/>
        </w:rPr>
        <w:lastRenderedPageBreak/>
        <w:t>技能人才培养与产业发展匹配度。</w:t>
      </w:r>
    </w:p>
    <w:p w:rsidR="000F7FAD" w:rsidRDefault="00BB4424">
      <w:pPr>
        <w:topLinePunct/>
        <w:autoSpaceDE w:val="0"/>
        <w:autoSpaceDN w:val="0"/>
        <w:snapToGrid w:val="0"/>
        <w:spacing w:line="600" w:lineRule="exact"/>
        <w:ind w:firstLineChars="200" w:firstLine="640"/>
        <w:rPr>
          <w:sz w:val="32"/>
          <w:szCs w:val="32"/>
        </w:rPr>
      </w:pPr>
      <w:r>
        <w:rPr>
          <w:rFonts w:ascii="楷体_GB2312" w:eastAsia="楷体_GB2312" w:hint="eastAsia"/>
          <w:sz w:val="32"/>
          <w:szCs w:val="32"/>
        </w:rPr>
        <w:t>完善终身职业技能培训体系。</w:t>
      </w:r>
      <w:r>
        <w:rPr>
          <w:rFonts w:hint="eastAsia"/>
          <w:sz w:val="32"/>
          <w:szCs w:val="32"/>
        </w:rPr>
        <w:t>发挥补贴性培训激励作用，围绕产业发展和劳动者全生命周期成长需求，建立完善与城市战略定位相适应、与创新驱动发展相匹配、贯穿职业生涯全过程的职业技能培训体系，为技能人才成长提供全链条支持。</w:t>
      </w:r>
    </w:p>
    <w:tbl>
      <w:tblPr>
        <w:tblW w:w="77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3"/>
      </w:tblGrid>
      <w:tr w:rsidR="000F7FAD">
        <w:trPr>
          <w:jc w:val="center"/>
        </w:trPr>
        <w:tc>
          <w:tcPr>
            <w:tcW w:w="7763" w:type="dxa"/>
            <w:vAlign w:val="center"/>
          </w:tcPr>
          <w:p w:rsidR="000F7FAD" w:rsidRDefault="00BB4424">
            <w:pPr>
              <w:adjustRightInd w:val="0"/>
              <w:snapToGrid w:val="0"/>
              <w:spacing w:line="480" w:lineRule="exact"/>
              <w:jc w:val="center"/>
              <w:rPr>
                <w:rFonts w:eastAsia="黑体"/>
                <w:szCs w:val="30"/>
                <w:u w:val="single"/>
              </w:rPr>
            </w:pPr>
            <w:r>
              <w:rPr>
                <w:rFonts w:eastAsia="黑体"/>
                <w:szCs w:val="30"/>
              </w:rPr>
              <w:t>专栏</w:t>
            </w:r>
            <w:r>
              <w:rPr>
                <w:rFonts w:eastAsia="黑体" w:hint="eastAsia"/>
                <w:szCs w:val="30"/>
              </w:rPr>
              <w:t>8</w:t>
            </w:r>
            <w:r>
              <w:rPr>
                <w:rFonts w:eastAsia="黑体"/>
                <w:szCs w:val="30"/>
              </w:rPr>
              <w:t xml:space="preserve">  </w:t>
            </w:r>
            <w:r>
              <w:rPr>
                <w:rFonts w:ascii="黑体" w:eastAsia="黑体" w:hAnsi="黑体"/>
                <w:szCs w:val="30"/>
              </w:rPr>
              <w:t>“</w:t>
            </w:r>
            <w:r>
              <w:rPr>
                <w:rFonts w:ascii="黑体" w:eastAsia="黑体" w:hAnsi="黑体"/>
                <w:szCs w:val="30"/>
              </w:rPr>
              <w:t>技能人才之都</w:t>
            </w:r>
            <w:r>
              <w:rPr>
                <w:rFonts w:ascii="黑体" w:eastAsia="黑体" w:hAnsi="黑体"/>
                <w:szCs w:val="30"/>
              </w:rPr>
              <w:t>”</w:t>
            </w:r>
            <w:r>
              <w:rPr>
                <w:rFonts w:ascii="黑体" w:eastAsia="黑体" w:hAnsi="黑体"/>
                <w:szCs w:val="30"/>
              </w:rPr>
              <w:t>升</w:t>
            </w:r>
            <w:r>
              <w:rPr>
                <w:rFonts w:eastAsia="黑体"/>
                <w:szCs w:val="30"/>
              </w:rPr>
              <w:t>级行动</w:t>
            </w:r>
          </w:p>
        </w:tc>
      </w:tr>
      <w:tr w:rsidR="000F7FAD">
        <w:trPr>
          <w:trHeight w:val="983"/>
          <w:jc w:val="center"/>
        </w:trPr>
        <w:tc>
          <w:tcPr>
            <w:tcW w:w="7763" w:type="dxa"/>
            <w:vAlign w:val="center"/>
          </w:tcPr>
          <w:p w:rsidR="000F7FAD" w:rsidRDefault="00BB4424">
            <w:pPr>
              <w:adjustRightInd w:val="0"/>
              <w:snapToGrid w:val="0"/>
              <w:spacing w:line="400" w:lineRule="exact"/>
              <w:ind w:firstLineChars="200" w:firstLine="482"/>
              <w:rPr>
                <w:sz w:val="24"/>
              </w:rPr>
            </w:pPr>
            <w:r>
              <w:rPr>
                <w:rFonts w:hint="eastAsia"/>
                <w:b/>
                <w:bCs/>
                <w:sz w:val="24"/>
              </w:rPr>
              <w:t>1.</w:t>
            </w:r>
            <w:r>
              <w:rPr>
                <w:b/>
                <w:bCs/>
                <w:sz w:val="24"/>
              </w:rPr>
              <w:t>深化</w:t>
            </w:r>
            <w:r>
              <w:rPr>
                <w:b/>
                <w:bCs/>
                <w:sz w:val="24"/>
              </w:rPr>
              <w:t>“</w:t>
            </w:r>
            <w:r>
              <w:rPr>
                <w:b/>
                <w:bCs/>
                <w:sz w:val="24"/>
              </w:rPr>
              <w:t>技能人才之都</w:t>
            </w:r>
            <w:r>
              <w:rPr>
                <w:b/>
                <w:bCs/>
                <w:sz w:val="24"/>
              </w:rPr>
              <w:t>”</w:t>
            </w:r>
            <w:r>
              <w:rPr>
                <w:b/>
                <w:bCs/>
                <w:sz w:val="24"/>
              </w:rPr>
              <w:t>建设</w:t>
            </w:r>
            <w:r>
              <w:rPr>
                <w:rFonts w:hint="eastAsia"/>
                <w:b/>
                <w:bCs/>
                <w:sz w:val="24"/>
              </w:rPr>
              <w:t>。</w:t>
            </w:r>
            <w:r>
              <w:rPr>
                <w:sz w:val="24"/>
              </w:rPr>
              <w:t>推动国家、省、市政策融合，塑</w:t>
            </w:r>
            <w:r>
              <w:rPr>
                <w:rFonts w:ascii="仿宋_GB2312" w:hAnsi="仿宋_GB2312"/>
                <w:sz w:val="24"/>
              </w:rPr>
              <w:t>造</w:t>
            </w:r>
            <w:r>
              <w:rPr>
                <w:rFonts w:ascii="仿宋_GB2312" w:hAnsi="仿宋_GB2312"/>
                <w:sz w:val="24"/>
              </w:rPr>
              <w:t>“</w:t>
            </w:r>
            <w:r>
              <w:rPr>
                <w:rFonts w:ascii="仿宋_GB2312" w:hAnsi="仿宋_GB2312"/>
                <w:sz w:val="24"/>
              </w:rPr>
              <w:t>广泛共识、效能凸显、开放发展、共同成长</w:t>
            </w:r>
            <w:r>
              <w:rPr>
                <w:rFonts w:ascii="仿宋_GB2312" w:hAnsi="仿宋_GB2312"/>
                <w:sz w:val="24"/>
              </w:rPr>
              <w:t>”</w:t>
            </w:r>
            <w:r>
              <w:rPr>
                <w:rFonts w:ascii="仿宋_GB2312" w:hAnsi="仿宋_GB2312"/>
                <w:sz w:val="24"/>
              </w:rPr>
              <w:t>的技</w:t>
            </w:r>
            <w:r>
              <w:rPr>
                <w:sz w:val="24"/>
              </w:rPr>
              <w:t>能生态。到</w:t>
            </w:r>
            <w:r>
              <w:rPr>
                <w:sz w:val="24"/>
              </w:rPr>
              <w:t>2025</w:t>
            </w:r>
            <w:r>
              <w:rPr>
                <w:sz w:val="24"/>
              </w:rPr>
              <w:t>年，技能劳动者占就业人员总量的比例达</w:t>
            </w:r>
            <w:r>
              <w:rPr>
                <w:sz w:val="24"/>
              </w:rPr>
              <w:t>30%</w:t>
            </w:r>
            <w:r>
              <w:rPr>
                <w:sz w:val="24"/>
              </w:rPr>
              <w:t>，高技能人才占技能人才比例达</w:t>
            </w:r>
            <w:r>
              <w:rPr>
                <w:sz w:val="24"/>
              </w:rPr>
              <w:t>40%</w:t>
            </w:r>
            <w:r>
              <w:rPr>
                <w:sz w:val="24"/>
              </w:rPr>
              <w:t>。</w:t>
            </w:r>
          </w:p>
          <w:p w:rsidR="000F7FAD" w:rsidRDefault="00BB4424">
            <w:pPr>
              <w:adjustRightInd w:val="0"/>
              <w:snapToGrid w:val="0"/>
              <w:spacing w:line="400" w:lineRule="exact"/>
              <w:ind w:firstLineChars="200" w:firstLine="482"/>
              <w:rPr>
                <w:sz w:val="24"/>
              </w:rPr>
            </w:pPr>
            <w:r>
              <w:rPr>
                <w:rFonts w:hint="eastAsia"/>
                <w:b/>
                <w:bCs/>
                <w:sz w:val="24"/>
              </w:rPr>
              <w:t>2.</w:t>
            </w:r>
            <w:r>
              <w:rPr>
                <w:b/>
                <w:bCs/>
                <w:sz w:val="24"/>
              </w:rPr>
              <w:t>技能等级认定行动</w:t>
            </w:r>
            <w:r>
              <w:rPr>
                <w:rFonts w:hint="eastAsia"/>
                <w:b/>
                <w:bCs/>
                <w:sz w:val="24"/>
              </w:rPr>
              <w:t>。</w:t>
            </w:r>
            <w:r>
              <w:rPr>
                <w:sz w:val="24"/>
              </w:rPr>
              <w:t>完善职业能力建设专家库，健全职业技能培训标准体系。鼓励推进职业技能等级认定，对开发认定东莞特色技能培训评价标准，或开展技能等级认定的，给予资助补助。到</w:t>
            </w:r>
            <w:r>
              <w:rPr>
                <w:sz w:val="24"/>
              </w:rPr>
              <w:t>2025</w:t>
            </w:r>
            <w:r>
              <w:rPr>
                <w:sz w:val="24"/>
              </w:rPr>
              <w:t>年，全市新增认定企业</w:t>
            </w:r>
            <w:r>
              <w:rPr>
                <w:sz w:val="24"/>
              </w:rPr>
              <w:t>500</w:t>
            </w:r>
            <w:r>
              <w:rPr>
                <w:sz w:val="24"/>
              </w:rPr>
              <w:t>家</w:t>
            </w:r>
            <w:r>
              <w:rPr>
                <w:rFonts w:hint="eastAsia"/>
                <w:sz w:val="24"/>
              </w:rPr>
              <w:t>、</w:t>
            </w:r>
            <w:r>
              <w:rPr>
                <w:sz w:val="24"/>
              </w:rPr>
              <w:t>社会培训评价组织</w:t>
            </w:r>
            <w:r>
              <w:rPr>
                <w:sz w:val="24"/>
              </w:rPr>
              <w:t>20</w:t>
            </w:r>
            <w:r>
              <w:rPr>
                <w:sz w:val="24"/>
              </w:rPr>
              <w:t>个。</w:t>
            </w:r>
          </w:p>
          <w:p w:rsidR="000F7FAD" w:rsidRDefault="00BB4424">
            <w:pPr>
              <w:spacing w:line="400" w:lineRule="exact"/>
              <w:ind w:firstLineChars="200" w:firstLine="482"/>
              <w:rPr>
                <w:sz w:val="24"/>
                <w:u w:val="single"/>
                <w:lang w:bidi="ar"/>
              </w:rPr>
            </w:pPr>
            <w:r>
              <w:rPr>
                <w:rFonts w:hint="eastAsia"/>
                <w:b/>
                <w:bCs/>
                <w:sz w:val="24"/>
              </w:rPr>
              <w:t>3.</w:t>
            </w:r>
            <w:r>
              <w:rPr>
                <w:rFonts w:hint="eastAsia"/>
                <w:b/>
                <w:bCs/>
                <w:sz w:val="24"/>
              </w:rPr>
              <w:t>企业技能效能提升行动。</w:t>
            </w:r>
            <w:r>
              <w:rPr>
                <w:sz w:val="24"/>
              </w:rPr>
              <w:t>发挥企业主体作用，在企业建设技能大师工作室，</w:t>
            </w:r>
            <w:r>
              <w:rPr>
                <w:rFonts w:hint="eastAsia"/>
                <w:sz w:val="24"/>
              </w:rPr>
              <w:t>实施“五推进四贯通三变革”，激发企业内生动力，</w:t>
            </w:r>
            <w:r>
              <w:rPr>
                <w:sz w:val="24"/>
              </w:rPr>
              <w:t>积极培育技能人才，推动技术革新，提高技能人才对企业生产效益的贡献。研究探索建立企业技能效能目标评价模式，鼓励企业围绕全要素生产率提升，探索</w:t>
            </w:r>
            <w:r>
              <w:rPr>
                <w:rFonts w:ascii="仿宋_GB2312" w:hAnsi="仿宋_GB2312"/>
                <w:sz w:val="24"/>
              </w:rPr>
              <w:t>开展</w:t>
            </w:r>
            <w:r>
              <w:rPr>
                <w:rFonts w:ascii="仿宋_GB2312" w:hAnsi="仿宋_GB2312"/>
                <w:sz w:val="24"/>
              </w:rPr>
              <w:t>“</w:t>
            </w:r>
            <w:r>
              <w:rPr>
                <w:rFonts w:ascii="仿宋_GB2312" w:hAnsi="仿宋_GB2312"/>
                <w:sz w:val="24"/>
              </w:rPr>
              <w:t>技能效能诊断</w:t>
            </w:r>
            <w:r>
              <w:rPr>
                <w:rFonts w:ascii="仿宋_GB2312" w:hAnsi="仿宋_GB2312"/>
                <w:sz w:val="24"/>
              </w:rPr>
              <w:t>”</w:t>
            </w:r>
            <w:r>
              <w:rPr>
                <w:rFonts w:ascii="仿宋_GB2312" w:hAnsi="仿宋_GB2312"/>
                <w:sz w:val="24"/>
              </w:rPr>
              <w:t>，</w:t>
            </w:r>
            <w:r>
              <w:rPr>
                <w:sz w:val="24"/>
              </w:rPr>
              <w:t>促进制造业供给侧结构</w:t>
            </w:r>
            <w:r>
              <w:rPr>
                <w:sz w:val="24"/>
              </w:rPr>
              <w:t>性改革。</w:t>
            </w:r>
          </w:p>
        </w:tc>
      </w:tr>
    </w:tbl>
    <w:p w:rsidR="000F7FAD" w:rsidRDefault="00BB4424">
      <w:pPr>
        <w:pStyle w:val="20"/>
      </w:pPr>
      <w:bookmarkStart w:id="56" w:name="_Toc7620"/>
      <w:bookmarkStart w:id="57" w:name="_Toc7667"/>
      <w:r>
        <w:rPr>
          <w:rFonts w:hint="eastAsia"/>
        </w:rPr>
        <w:t>第二节</w:t>
      </w:r>
      <w:r>
        <w:rPr>
          <w:rFonts w:hint="eastAsia"/>
        </w:rPr>
        <w:t xml:space="preserve"> </w:t>
      </w:r>
      <w:r>
        <w:t xml:space="preserve"> </w:t>
      </w:r>
      <w:r>
        <w:rPr>
          <w:rFonts w:hint="eastAsia"/>
        </w:rPr>
        <w:t>创新技能评价</w:t>
      </w:r>
      <w:bookmarkEnd w:id="56"/>
      <w:bookmarkEnd w:id="57"/>
    </w:p>
    <w:p w:rsidR="000F7FAD" w:rsidRDefault="00BB4424">
      <w:pPr>
        <w:topLinePunct/>
        <w:autoSpaceDE w:val="0"/>
        <w:autoSpaceDN w:val="0"/>
        <w:snapToGrid w:val="0"/>
        <w:spacing w:line="600" w:lineRule="exact"/>
        <w:ind w:firstLineChars="200" w:firstLine="640"/>
        <w:rPr>
          <w:sz w:val="32"/>
          <w:szCs w:val="32"/>
        </w:rPr>
      </w:pPr>
      <w:r>
        <w:rPr>
          <w:rFonts w:ascii="楷体_GB2312" w:eastAsia="楷体_GB2312" w:hint="eastAsia"/>
          <w:sz w:val="32"/>
          <w:szCs w:val="32"/>
        </w:rPr>
        <w:t>开发推广东莞培训标准规范。</w:t>
      </w:r>
      <w:r>
        <w:rPr>
          <w:rFonts w:hint="eastAsia"/>
          <w:sz w:val="32"/>
          <w:szCs w:val="32"/>
        </w:rPr>
        <w:t>发挥企业、培训机构、院校等主体优势，开发符合东莞产业特色的职业技能标准和评价规范，争取成为省标国标，打响“东莞标准”品牌。做好东莞职业技能培训标准的推广应用，提升技能培训质量。</w:t>
      </w:r>
    </w:p>
    <w:p w:rsidR="000F7FAD" w:rsidRDefault="00BB4424">
      <w:pPr>
        <w:topLinePunct/>
        <w:autoSpaceDE w:val="0"/>
        <w:autoSpaceDN w:val="0"/>
        <w:snapToGrid w:val="0"/>
        <w:spacing w:line="600" w:lineRule="exact"/>
        <w:ind w:firstLineChars="200" w:firstLine="640"/>
        <w:rPr>
          <w:sz w:val="32"/>
          <w:szCs w:val="32"/>
        </w:rPr>
      </w:pPr>
      <w:r>
        <w:rPr>
          <w:rFonts w:ascii="楷体_GB2312" w:eastAsia="楷体_GB2312" w:hint="eastAsia"/>
          <w:sz w:val="32"/>
          <w:szCs w:val="32"/>
        </w:rPr>
        <w:lastRenderedPageBreak/>
        <w:t>完善技能等级认定东莞模式。</w:t>
      </w:r>
      <w:r>
        <w:rPr>
          <w:rFonts w:hint="eastAsia"/>
          <w:sz w:val="32"/>
          <w:szCs w:val="32"/>
        </w:rPr>
        <w:t>完善职业技能定级认定与晋级并行机制，健全“专员、专岗、专家”模式，支持企业开发评价规范、制定评价方案、开展自主评价，推动建立以职业能力为导向、以工作业绩为重点、注重职业道德和知识水平的技能人才评价体系。</w:t>
      </w:r>
    </w:p>
    <w:p w:rsidR="000F7FAD" w:rsidRDefault="00BB4424">
      <w:pPr>
        <w:topLinePunct/>
        <w:autoSpaceDE w:val="0"/>
        <w:autoSpaceDN w:val="0"/>
        <w:snapToGrid w:val="0"/>
        <w:spacing w:line="600" w:lineRule="exact"/>
        <w:ind w:firstLineChars="200" w:firstLine="640"/>
        <w:rPr>
          <w:sz w:val="32"/>
          <w:szCs w:val="32"/>
        </w:rPr>
      </w:pPr>
      <w:r>
        <w:rPr>
          <w:rFonts w:ascii="楷体_GB2312" w:eastAsia="楷体_GB2312" w:hint="eastAsia"/>
          <w:sz w:val="32"/>
          <w:szCs w:val="32"/>
        </w:rPr>
        <w:t>畅通技能人才成长通道。</w:t>
      </w:r>
      <w:r>
        <w:rPr>
          <w:rFonts w:hint="eastAsia"/>
          <w:sz w:val="32"/>
          <w:szCs w:val="32"/>
        </w:rPr>
        <w:t>以工程、农业、工艺美术、体育、技工院校等领域为突破，推动高技能人才和专业技术人才职业发展贯通，明确技能人才与同等级技术、管理和其他人才在工资、社保、人员招聘以及其他相关福利方面享受同等待遇。</w:t>
      </w:r>
    </w:p>
    <w:p w:rsidR="000F7FAD" w:rsidRDefault="00BB4424">
      <w:pPr>
        <w:pStyle w:val="20"/>
      </w:pPr>
      <w:bookmarkStart w:id="58" w:name="_Toc31432"/>
      <w:bookmarkStart w:id="59" w:name="_Toc6864"/>
      <w:r>
        <w:rPr>
          <w:rFonts w:hint="eastAsia"/>
        </w:rPr>
        <w:t>第三节</w:t>
      </w:r>
      <w:r>
        <w:rPr>
          <w:rFonts w:eastAsia="宋体" w:hint="eastAsia"/>
        </w:rPr>
        <w:t xml:space="preserve"> </w:t>
      </w:r>
      <w:r>
        <w:rPr>
          <w:rFonts w:hint="eastAsia"/>
        </w:rPr>
        <w:t xml:space="preserve"> </w:t>
      </w:r>
      <w:r>
        <w:rPr>
          <w:rFonts w:hint="eastAsia"/>
        </w:rPr>
        <w:t>提高技能效能</w:t>
      </w:r>
      <w:bookmarkEnd w:id="58"/>
      <w:bookmarkEnd w:id="59"/>
    </w:p>
    <w:p w:rsidR="000F7FAD" w:rsidRDefault="00BB4424">
      <w:pPr>
        <w:topLinePunct/>
        <w:autoSpaceDE w:val="0"/>
        <w:autoSpaceDN w:val="0"/>
        <w:snapToGrid w:val="0"/>
        <w:spacing w:line="600" w:lineRule="exact"/>
        <w:ind w:firstLineChars="200" w:firstLine="640"/>
        <w:rPr>
          <w:sz w:val="32"/>
          <w:szCs w:val="32"/>
        </w:rPr>
      </w:pPr>
      <w:r>
        <w:rPr>
          <w:rFonts w:ascii="楷体_GB2312" w:eastAsia="楷体_GB2312" w:hint="eastAsia"/>
          <w:sz w:val="32"/>
          <w:szCs w:val="32"/>
        </w:rPr>
        <w:t>推动技能大师工作室建设。</w:t>
      </w:r>
      <w:r>
        <w:rPr>
          <w:rFonts w:hint="eastAsia"/>
          <w:sz w:val="32"/>
          <w:szCs w:val="32"/>
        </w:rPr>
        <w:t>发挥企业主体作用，支持建设技能大师工作室（或技师工作站），积极培育技能人才、推动技术革新，引导企业加大技能投入、塑造技能生态、改善人力关系、提升人力效率。</w:t>
      </w:r>
    </w:p>
    <w:p w:rsidR="000F7FAD" w:rsidRDefault="00BB4424">
      <w:pPr>
        <w:topLinePunct/>
        <w:autoSpaceDE w:val="0"/>
        <w:autoSpaceDN w:val="0"/>
        <w:snapToGrid w:val="0"/>
        <w:spacing w:line="600" w:lineRule="exact"/>
        <w:ind w:firstLineChars="200" w:firstLine="640"/>
        <w:rPr>
          <w:sz w:val="32"/>
          <w:szCs w:val="32"/>
        </w:rPr>
      </w:pPr>
      <w:r>
        <w:rPr>
          <w:rFonts w:ascii="楷体_GB2312" w:eastAsia="楷体_GB2312" w:hint="eastAsia"/>
          <w:sz w:val="32"/>
          <w:szCs w:val="32"/>
        </w:rPr>
        <w:t>促进培训与就业有效衔接。</w:t>
      </w:r>
      <w:r>
        <w:rPr>
          <w:rFonts w:hint="eastAsia"/>
          <w:sz w:val="32"/>
          <w:szCs w:val="32"/>
        </w:rPr>
        <w:t>突出产业需求导向，加强重点领域、重点产业技能人才储备和需求分析。加大数</w:t>
      </w:r>
      <w:r>
        <w:rPr>
          <w:rFonts w:hint="eastAsia"/>
          <w:sz w:val="32"/>
          <w:szCs w:val="32"/>
        </w:rPr>
        <w:t>字技能培训力度，提升劳动者数字技能水平。引导优质培训机构，实施“培训</w:t>
      </w:r>
      <w:r>
        <w:rPr>
          <w:rFonts w:hint="eastAsia"/>
          <w:sz w:val="32"/>
          <w:szCs w:val="32"/>
        </w:rPr>
        <w:t>+</w:t>
      </w:r>
      <w:r>
        <w:rPr>
          <w:rFonts w:hint="eastAsia"/>
          <w:sz w:val="32"/>
          <w:szCs w:val="32"/>
        </w:rPr>
        <w:t>就业”模式，开展“订单式”人才培养，促进供需对接。</w:t>
      </w:r>
    </w:p>
    <w:p w:rsidR="000F7FAD" w:rsidRDefault="00BB4424">
      <w:pPr>
        <w:pStyle w:val="20"/>
      </w:pPr>
      <w:bookmarkStart w:id="60" w:name="_Toc14877"/>
      <w:bookmarkStart w:id="61" w:name="_Toc6547"/>
      <w:r>
        <w:rPr>
          <w:rFonts w:hint="eastAsia"/>
        </w:rPr>
        <w:t>第四节</w:t>
      </w:r>
      <w:r>
        <w:rPr>
          <w:rFonts w:hint="eastAsia"/>
        </w:rPr>
        <w:t xml:space="preserve"> </w:t>
      </w:r>
      <w:r>
        <w:t xml:space="preserve"> </w:t>
      </w:r>
      <w:r>
        <w:rPr>
          <w:rFonts w:hint="eastAsia"/>
        </w:rPr>
        <w:t>提升技工教育</w:t>
      </w:r>
      <w:bookmarkEnd w:id="60"/>
      <w:bookmarkEnd w:id="61"/>
    </w:p>
    <w:p w:rsidR="000F7FAD" w:rsidRDefault="00BB4424">
      <w:pPr>
        <w:topLinePunct/>
        <w:autoSpaceDE w:val="0"/>
        <w:autoSpaceDN w:val="0"/>
        <w:snapToGrid w:val="0"/>
        <w:spacing w:line="600" w:lineRule="exact"/>
        <w:ind w:firstLineChars="200" w:firstLine="640"/>
        <w:rPr>
          <w:sz w:val="32"/>
          <w:szCs w:val="32"/>
        </w:rPr>
      </w:pPr>
      <w:r>
        <w:rPr>
          <w:rFonts w:ascii="楷体_GB2312" w:eastAsia="楷体_GB2312" w:hint="eastAsia"/>
          <w:sz w:val="32"/>
          <w:szCs w:val="32"/>
        </w:rPr>
        <w:lastRenderedPageBreak/>
        <w:t>加强技工院校党的建设。</w:t>
      </w:r>
      <w:r>
        <w:rPr>
          <w:rFonts w:hint="eastAsia"/>
          <w:sz w:val="32"/>
          <w:szCs w:val="32"/>
        </w:rPr>
        <w:t>全面落实技工院校党建工作责任制，加强技工院校思想政治工作，完善思政课体系，打造精品课程，把思政课建设纳入技工院校党建工作考核、办学质量和专业建设评估。加强思政课实践教学基地建设，强化思政课教师培养。</w:t>
      </w:r>
    </w:p>
    <w:p w:rsidR="000F7FAD" w:rsidRDefault="00BB4424">
      <w:pPr>
        <w:topLinePunct/>
        <w:autoSpaceDE w:val="0"/>
        <w:autoSpaceDN w:val="0"/>
        <w:snapToGrid w:val="0"/>
        <w:spacing w:line="600" w:lineRule="exact"/>
        <w:ind w:firstLineChars="200" w:firstLine="640"/>
        <w:rPr>
          <w:sz w:val="32"/>
          <w:szCs w:val="32"/>
        </w:rPr>
      </w:pPr>
      <w:r>
        <w:rPr>
          <w:rFonts w:ascii="楷体_GB2312" w:eastAsia="楷体_GB2312" w:hint="eastAsia"/>
          <w:sz w:val="32"/>
          <w:szCs w:val="32"/>
        </w:rPr>
        <w:t>优化技工教育发展布局。</w:t>
      </w:r>
      <w:r>
        <w:rPr>
          <w:rFonts w:hint="eastAsia"/>
          <w:sz w:val="32"/>
          <w:szCs w:val="32"/>
        </w:rPr>
        <w:t>建立政府统筹管理、社会多元办学的技工教育格局，强化用地、政策、资源、资金保障，促进技工教育与产业同步规划、与职业教育融合发</w:t>
      </w:r>
      <w:r>
        <w:rPr>
          <w:rFonts w:hint="eastAsia"/>
          <w:sz w:val="32"/>
          <w:szCs w:val="32"/>
        </w:rPr>
        <w:t>展。支持东莞市技师学院纳入高等</w:t>
      </w:r>
      <w:r>
        <w:rPr>
          <w:rFonts w:hint="eastAsia"/>
          <w:sz w:val="32"/>
          <w:szCs w:val="32"/>
        </w:rPr>
        <w:t>学校</w:t>
      </w:r>
      <w:r>
        <w:rPr>
          <w:rFonts w:hint="eastAsia"/>
          <w:sz w:val="32"/>
          <w:szCs w:val="32"/>
        </w:rPr>
        <w:t>序列，探索建设园区、镇（街）分院。完善技工教育管理体系，扶持民办技工教育发展，建成一批具有鲜明特色的品牌民办技工院校。</w:t>
      </w:r>
    </w:p>
    <w:p w:rsidR="000F7FAD" w:rsidRDefault="00BB4424">
      <w:pPr>
        <w:topLinePunct/>
        <w:autoSpaceDE w:val="0"/>
        <w:autoSpaceDN w:val="0"/>
        <w:snapToGrid w:val="0"/>
        <w:spacing w:line="600" w:lineRule="exact"/>
        <w:ind w:firstLineChars="200" w:firstLine="640"/>
        <w:rPr>
          <w:sz w:val="32"/>
          <w:szCs w:val="32"/>
        </w:rPr>
      </w:pPr>
      <w:r>
        <w:rPr>
          <w:rFonts w:ascii="楷体_GB2312" w:eastAsia="楷体_GB2312" w:hint="eastAsia"/>
          <w:sz w:val="32"/>
          <w:szCs w:val="32"/>
        </w:rPr>
        <w:t>优化专业课程设置。</w:t>
      </w:r>
      <w:r>
        <w:rPr>
          <w:rFonts w:hint="eastAsia"/>
          <w:sz w:val="32"/>
          <w:szCs w:val="32"/>
        </w:rPr>
        <w:t>按照产业链对接专业群，鼓励院校、行业和企业共同建设一批紧贴产业发展需求、校企深度融合、社会认可度高、就业质量好的品牌专业。引进国际先进的课程资源，加快本土化应用，提升自主培养水平。</w:t>
      </w:r>
    </w:p>
    <w:p w:rsidR="000F7FAD" w:rsidRDefault="00BB4424">
      <w:pPr>
        <w:topLinePunct/>
        <w:autoSpaceDE w:val="0"/>
        <w:autoSpaceDN w:val="0"/>
        <w:snapToGrid w:val="0"/>
        <w:spacing w:line="600" w:lineRule="exact"/>
        <w:ind w:firstLineChars="200" w:firstLine="640"/>
        <w:rPr>
          <w:sz w:val="32"/>
          <w:szCs w:val="32"/>
        </w:rPr>
      </w:pPr>
      <w:r>
        <w:rPr>
          <w:rFonts w:ascii="楷体_GB2312" w:eastAsia="楷体_GB2312" w:hint="eastAsia"/>
          <w:sz w:val="32"/>
          <w:szCs w:val="32"/>
        </w:rPr>
        <w:t>强化师资队伍建设。</w:t>
      </w:r>
      <w:r>
        <w:rPr>
          <w:rFonts w:hint="eastAsia"/>
          <w:sz w:val="32"/>
          <w:szCs w:val="32"/>
        </w:rPr>
        <w:t>加强技工教育师资管理、师德建设，完善进出、考评和激励机制。落实教师全员轮训制度，建立教师到企业实践、企业人才到学校兼职任教的常态化双向交流机制，校企联合培养“一体化”教师。支持技工院校可在教职工总额中安排一定比例或者通过流动岗位等形式，面向社会和企业聘用专业技术人员、高技能人才等担任兼职教师。</w:t>
      </w:r>
    </w:p>
    <w:p w:rsidR="000F7FAD" w:rsidRDefault="00BB4424">
      <w:pPr>
        <w:topLinePunct/>
        <w:autoSpaceDE w:val="0"/>
        <w:autoSpaceDN w:val="0"/>
        <w:snapToGrid w:val="0"/>
        <w:spacing w:line="600" w:lineRule="exact"/>
        <w:ind w:firstLineChars="200" w:firstLine="640"/>
        <w:rPr>
          <w:sz w:val="32"/>
          <w:szCs w:val="32"/>
        </w:rPr>
      </w:pPr>
      <w:r>
        <w:rPr>
          <w:rFonts w:ascii="楷体_GB2312" w:eastAsia="楷体_GB2312" w:hint="eastAsia"/>
          <w:sz w:val="32"/>
          <w:szCs w:val="32"/>
        </w:rPr>
        <w:lastRenderedPageBreak/>
        <w:t>完善产教融合机制</w:t>
      </w:r>
      <w:r>
        <w:rPr>
          <w:rFonts w:ascii="楷体_GB2312" w:eastAsia="楷体_GB2312" w:hint="eastAsia"/>
          <w:sz w:val="32"/>
          <w:szCs w:val="32"/>
        </w:rPr>
        <w:t>。</w:t>
      </w:r>
      <w:r>
        <w:rPr>
          <w:rFonts w:hint="eastAsia"/>
          <w:sz w:val="32"/>
          <w:szCs w:val="32"/>
        </w:rPr>
        <w:t>探索中国特色新型学徒制，推广“学习型工厂”，扩大新型学徒制规模。推进“链群对接、校企合作、引企入教”改革，促进技工院校与企业在专业建设、课程改革、师资培养、技术研发、生产实训、办学质量评价、技能竞赛、招生就业等方面深度合作。</w:t>
      </w:r>
    </w:p>
    <w:p w:rsidR="000F7FAD" w:rsidRDefault="00BB4424">
      <w:pPr>
        <w:topLinePunct/>
        <w:autoSpaceDE w:val="0"/>
        <w:autoSpaceDN w:val="0"/>
        <w:snapToGrid w:val="0"/>
        <w:spacing w:line="600" w:lineRule="exact"/>
        <w:ind w:firstLineChars="200" w:firstLine="640"/>
        <w:rPr>
          <w:rFonts w:eastAsia="宋体"/>
          <w:sz w:val="32"/>
          <w:szCs w:val="32"/>
        </w:rPr>
      </w:pPr>
      <w:r>
        <w:rPr>
          <w:rFonts w:ascii="楷体_GB2312" w:eastAsia="楷体_GB2312" w:hint="eastAsia"/>
          <w:sz w:val="32"/>
          <w:szCs w:val="32"/>
        </w:rPr>
        <w:t>深化国际交流合作。</w:t>
      </w:r>
      <w:r>
        <w:rPr>
          <w:rFonts w:hint="eastAsia"/>
          <w:sz w:val="32"/>
          <w:szCs w:val="32"/>
        </w:rPr>
        <w:t>以东莞市技师学院为引领，与外国教育机构合作举办中外合作办学项目，完善证书引进、课程开发、基地建设、师资培训、考核评价为一体的国际化技能人才培养体系。探索国际合作办学由输入转为转出，带动“一带一路”沿线地区和国家技工教育发展。</w:t>
      </w:r>
    </w:p>
    <w:tbl>
      <w:tblPr>
        <w:tblW w:w="77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3"/>
      </w:tblGrid>
      <w:tr w:rsidR="000F7FAD">
        <w:trPr>
          <w:jc w:val="center"/>
        </w:trPr>
        <w:tc>
          <w:tcPr>
            <w:tcW w:w="7763" w:type="dxa"/>
            <w:vAlign w:val="center"/>
          </w:tcPr>
          <w:p w:rsidR="000F7FAD" w:rsidRDefault="00BB4424">
            <w:pPr>
              <w:adjustRightInd w:val="0"/>
              <w:snapToGrid w:val="0"/>
              <w:spacing w:line="480" w:lineRule="exact"/>
              <w:jc w:val="center"/>
              <w:rPr>
                <w:rFonts w:eastAsia="黑体"/>
                <w:szCs w:val="30"/>
              </w:rPr>
            </w:pPr>
            <w:r>
              <w:rPr>
                <w:rFonts w:eastAsia="黑体"/>
                <w:szCs w:val="30"/>
              </w:rPr>
              <w:t>专栏</w:t>
            </w:r>
            <w:r>
              <w:rPr>
                <w:rFonts w:eastAsia="黑体" w:hint="eastAsia"/>
                <w:szCs w:val="30"/>
              </w:rPr>
              <w:t>9</w:t>
            </w:r>
            <w:r>
              <w:rPr>
                <w:rFonts w:eastAsia="黑体"/>
                <w:szCs w:val="30"/>
              </w:rPr>
              <w:t xml:space="preserve">  </w:t>
            </w:r>
            <w:r>
              <w:rPr>
                <w:rFonts w:eastAsia="黑体"/>
                <w:szCs w:val="30"/>
              </w:rPr>
              <w:t>技工教育</w:t>
            </w:r>
            <w:r>
              <w:rPr>
                <w:rFonts w:eastAsia="黑体" w:hint="eastAsia"/>
                <w:szCs w:val="30"/>
              </w:rPr>
              <w:t>高质量发展</w:t>
            </w:r>
            <w:r>
              <w:rPr>
                <w:rFonts w:eastAsia="黑体"/>
                <w:szCs w:val="30"/>
              </w:rPr>
              <w:t>行动</w:t>
            </w:r>
          </w:p>
        </w:tc>
      </w:tr>
      <w:tr w:rsidR="000F7FAD">
        <w:trPr>
          <w:trHeight w:val="420"/>
          <w:jc w:val="center"/>
        </w:trPr>
        <w:tc>
          <w:tcPr>
            <w:tcW w:w="7763" w:type="dxa"/>
            <w:vAlign w:val="center"/>
          </w:tcPr>
          <w:p w:rsidR="000F7FAD" w:rsidRDefault="00BB4424">
            <w:pPr>
              <w:adjustRightInd w:val="0"/>
              <w:snapToGrid w:val="0"/>
              <w:spacing w:line="400" w:lineRule="exact"/>
              <w:ind w:firstLineChars="200" w:firstLine="482"/>
              <w:rPr>
                <w:sz w:val="24"/>
              </w:rPr>
            </w:pPr>
            <w:r>
              <w:rPr>
                <w:rFonts w:hint="eastAsia"/>
                <w:b/>
                <w:bCs/>
                <w:sz w:val="24"/>
              </w:rPr>
              <w:t>1</w:t>
            </w:r>
            <w:r>
              <w:rPr>
                <w:rFonts w:hint="eastAsia"/>
                <w:b/>
                <w:bCs/>
                <w:sz w:val="24"/>
              </w:rPr>
              <w:t>.</w:t>
            </w:r>
            <w:r>
              <w:rPr>
                <w:rFonts w:hint="eastAsia"/>
                <w:b/>
                <w:bCs/>
                <w:sz w:val="24"/>
              </w:rPr>
              <w:t>全面提升技工教育品质。</w:t>
            </w:r>
            <w:r>
              <w:rPr>
                <w:rFonts w:hint="eastAsia"/>
                <w:sz w:val="24"/>
              </w:rPr>
              <w:t>争取到</w:t>
            </w:r>
            <w:r>
              <w:rPr>
                <w:rFonts w:hint="eastAsia"/>
                <w:sz w:val="24"/>
              </w:rPr>
              <w:t>2025</w:t>
            </w:r>
            <w:r>
              <w:rPr>
                <w:rFonts w:hint="eastAsia"/>
                <w:sz w:val="24"/>
              </w:rPr>
              <w:t>年底，我市技工院校在校生规模保持在</w:t>
            </w:r>
            <w:r>
              <w:rPr>
                <w:rFonts w:hint="eastAsia"/>
                <w:sz w:val="24"/>
              </w:rPr>
              <w:t>3</w:t>
            </w:r>
            <w:r>
              <w:rPr>
                <w:rFonts w:hint="eastAsia"/>
                <w:sz w:val="24"/>
              </w:rPr>
              <w:t>万人以上，高级工班及以上在校生比例达</w:t>
            </w:r>
            <w:r>
              <w:rPr>
                <w:rFonts w:hint="eastAsia"/>
                <w:sz w:val="24"/>
              </w:rPr>
              <w:t>40%</w:t>
            </w:r>
            <w:r>
              <w:rPr>
                <w:rFonts w:hint="eastAsia"/>
                <w:sz w:val="24"/>
              </w:rPr>
              <w:t>以上；提高专业建设与产业发展适配度，技工院校</w:t>
            </w:r>
            <w:r>
              <w:rPr>
                <w:rFonts w:hint="eastAsia"/>
                <w:sz w:val="24"/>
              </w:rPr>
              <w:t>90%</w:t>
            </w:r>
            <w:r>
              <w:rPr>
                <w:rFonts w:hint="eastAsia"/>
                <w:sz w:val="24"/>
              </w:rPr>
              <w:t>以上专业实行校企合作培养模式；增强技工教育对经济社会发展的贡献度，年输送毕业生</w:t>
            </w:r>
            <w:r>
              <w:rPr>
                <w:rFonts w:hint="eastAsia"/>
                <w:sz w:val="24"/>
              </w:rPr>
              <w:t>8000</w:t>
            </w:r>
            <w:r>
              <w:rPr>
                <w:rFonts w:hint="eastAsia"/>
                <w:sz w:val="24"/>
              </w:rPr>
              <w:t>人以上，毕业生就业率保持在</w:t>
            </w:r>
            <w:r>
              <w:rPr>
                <w:rFonts w:hint="eastAsia"/>
                <w:sz w:val="24"/>
              </w:rPr>
              <w:t>98%</w:t>
            </w:r>
            <w:r>
              <w:rPr>
                <w:rFonts w:hint="eastAsia"/>
                <w:sz w:val="24"/>
              </w:rPr>
              <w:t>以上。</w:t>
            </w:r>
          </w:p>
          <w:p w:rsidR="000F7FAD" w:rsidRDefault="00BB4424">
            <w:pPr>
              <w:adjustRightInd w:val="0"/>
              <w:snapToGrid w:val="0"/>
              <w:spacing w:line="400" w:lineRule="exact"/>
              <w:ind w:firstLineChars="200" w:firstLine="482"/>
              <w:rPr>
                <w:sz w:val="24"/>
              </w:rPr>
            </w:pPr>
            <w:r>
              <w:rPr>
                <w:rFonts w:hint="eastAsia"/>
                <w:b/>
                <w:bCs/>
                <w:sz w:val="24"/>
              </w:rPr>
              <w:t>2.</w:t>
            </w:r>
            <w:r>
              <w:rPr>
                <w:rFonts w:hint="eastAsia"/>
                <w:b/>
                <w:bCs/>
                <w:sz w:val="24"/>
              </w:rPr>
              <w:t>支持技师学院提质扩容。</w:t>
            </w:r>
            <w:r>
              <w:rPr>
                <w:rFonts w:hint="eastAsia"/>
                <w:sz w:val="24"/>
              </w:rPr>
              <w:t>探索市技师学院职教城校区扩容发展、东城校区改造提升，优化功能布局，调整专业群全面对接产业群，争取省支持纳入高等学校序列。推动市技师学院向具备学制教育、职业培训、公共实训、师资培养、技能评价、竞赛</w:t>
            </w:r>
            <w:r>
              <w:rPr>
                <w:rFonts w:hint="eastAsia"/>
                <w:sz w:val="24"/>
              </w:rPr>
              <w:t>集训、创业孵化、就业服务等多种功能的综合服务体转变。</w:t>
            </w:r>
          </w:p>
          <w:p w:rsidR="000F7FAD" w:rsidRDefault="00BB4424">
            <w:pPr>
              <w:adjustRightInd w:val="0"/>
              <w:snapToGrid w:val="0"/>
              <w:spacing w:line="400" w:lineRule="exact"/>
              <w:ind w:firstLineChars="200" w:firstLine="482"/>
              <w:rPr>
                <w:sz w:val="24"/>
              </w:rPr>
            </w:pPr>
            <w:r>
              <w:rPr>
                <w:rFonts w:hint="eastAsia"/>
                <w:b/>
                <w:sz w:val="24"/>
              </w:rPr>
              <w:t>3.</w:t>
            </w:r>
            <w:r>
              <w:rPr>
                <w:rFonts w:hint="eastAsia"/>
                <w:b/>
                <w:sz w:val="24"/>
              </w:rPr>
              <w:t>支持民办院校做大做强。</w:t>
            </w:r>
            <w:r>
              <w:rPr>
                <w:rFonts w:hint="eastAsia"/>
                <w:sz w:val="24"/>
              </w:rPr>
              <w:t>发挥市场机制作用，鼓励社会力量兴办技工学校。支持优质民办技工院校通过设立分校区等方式扩容发展，做大民办技工教育规模。推动条件成熟的民办技工院校升级发展，提升内涵建设，打造专业特色鲜明、就业质量高的民办技工教育品牌。</w:t>
            </w:r>
          </w:p>
          <w:p w:rsidR="000F7FAD" w:rsidRDefault="00BB4424">
            <w:pPr>
              <w:adjustRightInd w:val="0"/>
              <w:snapToGrid w:val="0"/>
              <w:spacing w:line="400" w:lineRule="exact"/>
              <w:ind w:firstLineChars="200" w:firstLine="482"/>
              <w:rPr>
                <w:sz w:val="24"/>
              </w:rPr>
            </w:pPr>
            <w:r>
              <w:rPr>
                <w:rFonts w:hint="eastAsia"/>
                <w:b/>
                <w:sz w:val="24"/>
              </w:rPr>
              <w:t>4.</w:t>
            </w:r>
            <w:r>
              <w:rPr>
                <w:rFonts w:hint="eastAsia"/>
                <w:b/>
                <w:sz w:val="24"/>
              </w:rPr>
              <w:t>保障技工院校毕业生待遇。</w:t>
            </w:r>
            <w:r>
              <w:rPr>
                <w:rFonts w:hint="eastAsia"/>
                <w:sz w:val="24"/>
              </w:rPr>
              <w:t>落实国家助学金、免学费、奖学金等政</w:t>
            </w:r>
            <w:r>
              <w:rPr>
                <w:rFonts w:hint="eastAsia"/>
                <w:sz w:val="24"/>
              </w:rPr>
              <w:lastRenderedPageBreak/>
              <w:t>策，落实技工院校毕业生待遇，按规定享受就业创业相关政策。推动落实获得中级工、高级工、技师职业资格（职业技能等级）的人员〔含技工院校中级工班、高级工班、预备技师（技师）班毕业生〕，分别按相当于中专、大专、本科学历落实相关待遇。</w:t>
            </w:r>
          </w:p>
        </w:tc>
      </w:tr>
    </w:tbl>
    <w:p w:rsidR="000F7FAD" w:rsidRDefault="00BB4424">
      <w:pPr>
        <w:pStyle w:val="20"/>
      </w:pPr>
      <w:bookmarkStart w:id="62" w:name="_Toc24251"/>
      <w:bookmarkStart w:id="63" w:name="_Toc26972"/>
      <w:r>
        <w:rPr>
          <w:rFonts w:hint="eastAsia"/>
        </w:rPr>
        <w:t>第五节</w:t>
      </w:r>
      <w:r>
        <w:rPr>
          <w:rFonts w:hint="eastAsia"/>
        </w:rPr>
        <w:t xml:space="preserve"> </w:t>
      </w:r>
      <w:r>
        <w:t xml:space="preserve"> </w:t>
      </w:r>
      <w:r>
        <w:rPr>
          <w:rFonts w:hint="eastAsia"/>
        </w:rPr>
        <w:t>做大技能资源</w:t>
      </w:r>
      <w:bookmarkEnd w:id="62"/>
      <w:bookmarkEnd w:id="63"/>
    </w:p>
    <w:p w:rsidR="000F7FAD" w:rsidRDefault="00BB4424">
      <w:pPr>
        <w:topLinePunct/>
        <w:autoSpaceDE w:val="0"/>
        <w:autoSpaceDN w:val="0"/>
        <w:snapToGrid w:val="0"/>
        <w:spacing w:line="600" w:lineRule="exact"/>
        <w:ind w:firstLineChars="200" w:firstLine="640"/>
        <w:rPr>
          <w:sz w:val="32"/>
          <w:szCs w:val="32"/>
        </w:rPr>
      </w:pPr>
      <w:r>
        <w:rPr>
          <w:rFonts w:ascii="楷体_GB2312" w:eastAsia="楷体_GB2312" w:hint="eastAsia"/>
          <w:sz w:val="32"/>
          <w:szCs w:val="32"/>
        </w:rPr>
        <w:t>深化产业人才培养。</w:t>
      </w:r>
      <w:r>
        <w:rPr>
          <w:rFonts w:hint="eastAsia"/>
          <w:sz w:val="32"/>
          <w:szCs w:val="32"/>
        </w:rPr>
        <w:t>以产业协同发展为方向，鼓励园区、镇（街）围绕战略性新兴产业、先进制造业、现代服务业等领域，开展项目制人才培养。</w:t>
      </w:r>
      <w:r>
        <w:rPr>
          <w:rFonts w:ascii="仿宋_GB2312" w:hint="eastAsia"/>
          <w:kern w:val="0"/>
          <w:sz w:val="32"/>
          <w:szCs w:val="32"/>
          <w:lang w:bidi="ar"/>
        </w:rPr>
        <w:t>大力推进</w:t>
      </w:r>
      <w:r>
        <w:rPr>
          <w:rFonts w:ascii="仿宋_GB2312"/>
          <w:kern w:val="0"/>
          <w:sz w:val="32"/>
          <w:szCs w:val="32"/>
          <w:lang w:bidi="ar"/>
        </w:rPr>
        <w:t>“</w:t>
      </w:r>
      <w:r>
        <w:rPr>
          <w:rFonts w:ascii="仿宋_GB2312" w:hint="eastAsia"/>
          <w:kern w:val="0"/>
          <w:sz w:val="32"/>
          <w:szCs w:val="32"/>
          <w:lang w:bidi="ar"/>
        </w:rPr>
        <w:t>数字工匠</w:t>
      </w:r>
      <w:r>
        <w:rPr>
          <w:rFonts w:ascii="仿宋_GB2312"/>
          <w:kern w:val="0"/>
          <w:sz w:val="32"/>
          <w:szCs w:val="32"/>
          <w:lang w:bidi="ar"/>
        </w:rPr>
        <w:t>”</w:t>
      </w:r>
      <w:r>
        <w:rPr>
          <w:rFonts w:ascii="仿宋_GB2312" w:hint="eastAsia"/>
          <w:kern w:val="0"/>
          <w:sz w:val="32"/>
          <w:szCs w:val="32"/>
          <w:lang w:bidi="ar"/>
        </w:rPr>
        <w:t>培训，用好各类培训平台和培训资源，加快建成一支既熟悉生产制造又懂得数字技术的复合型产业人才队伍。</w:t>
      </w:r>
      <w:r>
        <w:rPr>
          <w:rFonts w:hint="eastAsia"/>
          <w:sz w:val="32"/>
          <w:szCs w:val="32"/>
        </w:rPr>
        <w:t>加大技能投入力度，建设“技术进步、员工成长、产业集聚”的“镇街技谷”，打造镇（街）层面的技能人才资源集成平台。引导机构、企业、实训基地等开发产业急需的培训项目，加强急需紧缺技能人才培养储备。</w:t>
      </w:r>
    </w:p>
    <w:p w:rsidR="000F7FAD" w:rsidRDefault="00BB4424">
      <w:pPr>
        <w:topLinePunct/>
        <w:autoSpaceDE w:val="0"/>
        <w:autoSpaceDN w:val="0"/>
        <w:snapToGrid w:val="0"/>
        <w:spacing w:line="600" w:lineRule="exact"/>
        <w:ind w:firstLineChars="200" w:firstLine="640"/>
        <w:rPr>
          <w:sz w:val="32"/>
          <w:szCs w:val="32"/>
        </w:rPr>
      </w:pPr>
      <w:r>
        <w:rPr>
          <w:rFonts w:ascii="楷体_GB2312" w:eastAsia="楷体_GB2312" w:hint="eastAsia"/>
          <w:sz w:val="32"/>
          <w:szCs w:val="32"/>
        </w:rPr>
        <w:t>优化公共实训服务。</w:t>
      </w:r>
      <w:r>
        <w:rPr>
          <w:rFonts w:hint="eastAsia"/>
          <w:sz w:val="32"/>
          <w:szCs w:val="32"/>
        </w:rPr>
        <w:t>扩大公益性实训分基地建设规模，重点建设一批战略性新兴产业、先进制造业、特色优势产业领域公共实训项目。引进、开发先进实训模式、实训项目和实训标准体系，面向企业、院校和社会组织，开展技能实训、师资培训、技能竞赛</w:t>
      </w:r>
      <w:r>
        <w:rPr>
          <w:rFonts w:hint="eastAsia"/>
          <w:sz w:val="32"/>
          <w:szCs w:val="32"/>
        </w:rPr>
        <w:t>、技术支持和科技成果转化等服务。</w:t>
      </w:r>
    </w:p>
    <w:p w:rsidR="000F7FAD" w:rsidRDefault="00BB4424">
      <w:pPr>
        <w:topLinePunct/>
        <w:autoSpaceDE w:val="0"/>
        <w:autoSpaceDN w:val="0"/>
        <w:snapToGrid w:val="0"/>
        <w:spacing w:line="600" w:lineRule="exact"/>
        <w:ind w:firstLineChars="200" w:firstLine="640"/>
        <w:rPr>
          <w:sz w:val="32"/>
          <w:szCs w:val="32"/>
        </w:rPr>
      </w:pPr>
      <w:r>
        <w:rPr>
          <w:rFonts w:ascii="楷体_GB2312" w:eastAsia="楷体_GB2312" w:hint="eastAsia"/>
          <w:sz w:val="32"/>
          <w:szCs w:val="32"/>
        </w:rPr>
        <w:t>促进技能培训机构发展。</w:t>
      </w:r>
      <w:r>
        <w:rPr>
          <w:rFonts w:hint="eastAsia"/>
          <w:sz w:val="32"/>
          <w:szCs w:val="32"/>
        </w:rPr>
        <w:t>加强技能培训机构规范管理，建立技能培训师资库，指导开设特色培训项目，强化培训效果评估和培训后续服务。鼓励培训机构参与“送技能、送培训、送</w:t>
      </w:r>
      <w:r>
        <w:rPr>
          <w:rFonts w:hint="eastAsia"/>
          <w:sz w:val="32"/>
          <w:szCs w:val="32"/>
        </w:rPr>
        <w:lastRenderedPageBreak/>
        <w:t>技工”活动，为各类企业提供培训课程、师资等优质资源。</w:t>
      </w:r>
    </w:p>
    <w:p w:rsidR="000F7FAD" w:rsidRDefault="00BB4424">
      <w:pPr>
        <w:topLinePunct/>
        <w:autoSpaceDE w:val="0"/>
        <w:autoSpaceDN w:val="0"/>
        <w:snapToGrid w:val="0"/>
        <w:spacing w:line="600" w:lineRule="exact"/>
        <w:ind w:firstLineChars="200" w:firstLine="640"/>
        <w:rPr>
          <w:sz w:val="32"/>
          <w:szCs w:val="32"/>
        </w:rPr>
      </w:pPr>
      <w:r>
        <w:rPr>
          <w:rFonts w:ascii="楷体_GB2312" w:eastAsia="楷体_GB2312" w:hint="eastAsia"/>
          <w:sz w:val="32"/>
          <w:szCs w:val="32"/>
        </w:rPr>
        <w:t>推动三项工程高质量发展。</w:t>
      </w:r>
      <w:r>
        <w:rPr>
          <w:sz w:val="32"/>
          <w:szCs w:val="32"/>
        </w:rPr>
        <w:t>推进完善</w:t>
      </w:r>
      <w:r>
        <w:rPr>
          <w:sz w:val="32"/>
          <w:szCs w:val="32"/>
        </w:rPr>
        <w:t>“</w:t>
      </w:r>
      <w:r>
        <w:rPr>
          <w:sz w:val="32"/>
          <w:szCs w:val="32"/>
        </w:rPr>
        <w:t>粤菜师傅</w:t>
      </w:r>
      <w:r>
        <w:rPr>
          <w:sz w:val="32"/>
          <w:szCs w:val="32"/>
        </w:rPr>
        <w:t>”</w:t>
      </w:r>
      <w:r>
        <w:rPr>
          <w:sz w:val="32"/>
          <w:szCs w:val="32"/>
        </w:rPr>
        <w:t>培养体系</w:t>
      </w:r>
      <w:r>
        <w:rPr>
          <w:rFonts w:hint="eastAsia"/>
          <w:sz w:val="32"/>
          <w:szCs w:val="32"/>
        </w:rPr>
        <w:t>，</w:t>
      </w:r>
      <w:r>
        <w:rPr>
          <w:sz w:val="32"/>
          <w:szCs w:val="32"/>
        </w:rPr>
        <w:t>开发相关精品课程，提升粤菜烹饪技能人才培养能力和质量。</w:t>
      </w:r>
      <w:r>
        <w:rPr>
          <w:rFonts w:hint="eastAsia"/>
          <w:sz w:val="32"/>
          <w:szCs w:val="32"/>
        </w:rPr>
        <w:t>大力实施“广东技工”工程，推动技工教育与现代产业高质量协同发展，强</w:t>
      </w:r>
      <w:r>
        <w:rPr>
          <w:sz w:val="32"/>
          <w:szCs w:val="32"/>
        </w:rPr>
        <w:t>化技能人才对现代产业高质量发展的支撑作用</w:t>
      </w:r>
      <w:r>
        <w:rPr>
          <w:rFonts w:hint="eastAsia"/>
          <w:sz w:val="32"/>
          <w:szCs w:val="32"/>
        </w:rPr>
        <w:t>。推进“南粤家政”工程提质扩容，围绕母婴服务、居家服</w:t>
      </w:r>
      <w:r>
        <w:rPr>
          <w:rFonts w:hint="eastAsia"/>
          <w:sz w:val="32"/>
          <w:szCs w:val="32"/>
        </w:rPr>
        <w:t>务、养老服务、医护服务四大项目，积极开展技能培训。</w:t>
      </w:r>
    </w:p>
    <w:tbl>
      <w:tblPr>
        <w:tblW w:w="77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3"/>
      </w:tblGrid>
      <w:tr w:rsidR="000F7FAD">
        <w:trPr>
          <w:jc w:val="center"/>
        </w:trPr>
        <w:tc>
          <w:tcPr>
            <w:tcW w:w="7763" w:type="dxa"/>
            <w:vAlign w:val="center"/>
          </w:tcPr>
          <w:p w:rsidR="000F7FAD" w:rsidRDefault="00BB4424">
            <w:pPr>
              <w:adjustRightInd w:val="0"/>
              <w:snapToGrid w:val="0"/>
              <w:spacing w:line="480" w:lineRule="exact"/>
              <w:jc w:val="center"/>
              <w:rPr>
                <w:rFonts w:eastAsia="黑体"/>
                <w:szCs w:val="32"/>
              </w:rPr>
            </w:pPr>
            <w:r>
              <w:rPr>
                <w:rFonts w:eastAsia="黑体"/>
                <w:szCs w:val="32"/>
              </w:rPr>
              <w:t>专栏</w:t>
            </w:r>
            <w:r>
              <w:rPr>
                <w:rFonts w:eastAsia="黑体" w:hint="eastAsia"/>
                <w:szCs w:val="32"/>
              </w:rPr>
              <w:t>10</w:t>
            </w:r>
            <w:r>
              <w:rPr>
                <w:rFonts w:eastAsia="黑体"/>
                <w:szCs w:val="32"/>
              </w:rPr>
              <w:t xml:space="preserve">  </w:t>
            </w:r>
            <w:r>
              <w:rPr>
                <w:rFonts w:eastAsia="黑体"/>
                <w:szCs w:val="32"/>
              </w:rPr>
              <w:t>高质量推进三项工程行动</w:t>
            </w:r>
          </w:p>
        </w:tc>
      </w:tr>
      <w:tr w:rsidR="000F7FAD">
        <w:trPr>
          <w:trHeight w:val="558"/>
          <w:jc w:val="center"/>
        </w:trPr>
        <w:tc>
          <w:tcPr>
            <w:tcW w:w="7763" w:type="dxa"/>
            <w:vAlign w:val="center"/>
          </w:tcPr>
          <w:p w:rsidR="000F7FAD" w:rsidRDefault="00BB4424">
            <w:pPr>
              <w:adjustRightInd w:val="0"/>
              <w:snapToGrid w:val="0"/>
              <w:spacing w:line="400" w:lineRule="exact"/>
              <w:ind w:firstLineChars="200" w:firstLine="482"/>
              <w:rPr>
                <w:sz w:val="24"/>
              </w:rPr>
            </w:pPr>
            <w:r>
              <w:rPr>
                <w:b/>
                <w:sz w:val="24"/>
              </w:rPr>
              <w:t>1.</w:t>
            </w:r>
            <w:r>
              <w:rPr>
                <w:b/>
                <w:sz w:val="24"/>
              </w:rPr>
              <w:t>高质量推</w:t>
            </w:r>
            <w:r>
              <w:rPr>
                <w:rFonts w:ascii="仿宋_GB2312" w:hAnsi="仿宋_GB2312"/>
                <w:b/>
                <w:sz w:val="24"/>
              </w:rPr>
              <w:t>进</w:t>
            </w:r>
            <w:r>
              <w:rPr>
                <w:rFonts w:ascii="仿宋_GB2312" w:hAnsi="仿宋_GB2312"/>
                <w:b/>
                <w:sz w:val="24"/>
              </w:rPr>
              <w:t>“</w:t>
            </w:r>
            <w:r>
              <w:rPr>
                <w:rFonts w:ascii="仿宋_GB2312" w:hAnsi="仿宋_GB2312"/>
                <w:b/>
                <w:sz w:val="24"/>
              </w:rPr>
              <w:t>粤菜师傅</w:t>
            </w:r>
            <w:r>
              <w:rPr>
                <w:rFonts w:ascii="仿宋_GB2312" w:hAnsi="仿宋_GB2312"/>
                <w:b/>
                <w:sz w:val="24"/>
              </w:rPr>
              <w:t>”</w:t>
            </w:r>
            <w:r>
              <w:rPr>
                <w:rFonts w:ascii="仿宋_GB2312" w:hAnsi="仿宋_GB2312"/>
                <w:b/>
                <w:sz w:val="24"/>
              </w:rPr>
              <w:t>工</w:t>
            </w:r>
            <w:r>
              <w:rPr>
                <w:b/>
                <w:sz w:val="24"/>
              </w:rPr>
              <w:t>程。</w:t>
            </w:r>
            <w:r>
              <w:rPr>
                <w:sz w:val="24"/>
              </w:rPr>
              <w:t>结合东莞粤菜产业发展，探</w:t>
            </w:r>
            <w:r>
              <w:rPr>
                <w:rFonts w:ascii="仿宋_GB2312" w:hAnsi="仿宋_GB2312"/>
                <w:sz w:val="24"/>
              </w:rPr>
              <w:t>索</w:t>
            </w:r>
            <w:r>
              <w:rPr>
                <w:rFonts w:ascii="仿宋_GB2312" w:hAnsi="仿宋_GB2312"/>
                <w:sz w:val="24"/>
              </w:rPr>
              <w:t>“</w:t>
            </w:r>
            <w:r>
              <w:rPr>
                <w:rFonts w:ascii="仿宋_GB2312" w:hAnsi="仿宋_GB2312"/>
                <w:sz w:val="24"/>
              </w:rPr>
              <w:t>名厨名店出名菜</w:t>
            </w:r>
            <w:r>
              <w:rPr>
                <w:rFonts w:ascii="仿宋_GB2312" w:hAnsi="仿宋_GB2312" w:hint="eastAsia"/>
                <w:sz w:val="24"/>
              </w:rPr>
              <w:t>、</w:t>
            </w:r>
            <w:r>
              <w:rPr>
                <w:rFonts w:ascii="仿宋_GB2312" w:hAnsi="仿宋_GB2312"/>
                <w:sz w:val="24"/>
              </w:rPr>
              <w:t>产业创业带就业</w:t>
            </w:r>
            <w:r>
              <w:rPr>
                <w:rFonts w:ascii="仿宋_GB2312" w:hAnsi="仿宋_GB2312"/>
                <w:sz w:val="24"/>
              </w:rPr>
              <w:t>”</w:t>
            </w:r>
            <w:r>
              <w:rPr>
                <w:rFonts w:ascii="仿宋_GB2312" w:hAnsi="仿宋_GB2312"/>
                <w:sz w:val="24"/>
              </w:rPr>
              <w:t>工</w:t>
            </w:r>
            <w:r>
              <w:rPr>
                <w:sz w:val="24"/>
              </w:rPr>
              <w:t>作模式，打</w:t>
            </w:r>
            <w:r>
              <w:rPr>
                <w:rFonts w:ascii="仿宋_GB2312" w:hAnsi="仿宋_GB2312"/>
                <w:sz w:val="24"/>
              </w:rPr>
              <w:t>造</w:t>
            </w:r>
            <w:r>
              <w:rPr>
                <w:rFonts w:ascii="仿宋_GB2312" w:hAnsi="仿宋_GB2312"/>
                <w:sz w:val="24"/>
              </w:rPr>
              <w:t>“</w:t>
            </w:r>
            <w:r>
              <w:rPr>
                <w:rFonts w:ascii="仿宋_GB2312" w:hAnsi="仿宋_GB2312"/>
                <w:sz w:val="24"/>
              </w:rPr>
              <w:t>创意粤菜</w:t>
            </w:r>
            <w:r>
              <w:rPr>
                <w:rFonts w:ascii="仿宋_GB2312" w:hAnsi="仿宋_GB2312"/>
                <w:sz w:val="24"/>
              </w:rPr>
              <w:t xml:space="preserve"> </w:t>
            </w:r>
            <w:r>
              <w:rPr>
                <w:rFonts w:ascii="仿宋_GB2312" w:hAnsi="仿宋_GB2312"/>
                <w:sz w:val="24"/>
              </w:rPr>
              <w:t>品出东莞</w:t>
            </w:r>
            <w:r>
              <w:rPr>
                <w:rFonts w:ascii="仿宋_GB2312" w:hAnsi="仿宋_GB2312"/>
                <w:sz w:val="24"/>
              </w:rPr>
              <w:t>”</w:t>
            </w:r>
            <w:r>
              <w:rPr>
                <w:rFonts w:ascii="仿宋_GB2312" w:hAnsi="仿宋_GB2312"/>
                <w:sz w:val="24"/>
              </w:rPr>
              <w:t>工</w:t>
            </w:r>
            <w:r>
              <w:rPr>
                <w:sz w:val="24"/>
              </w:rPr>
              <w:t>作品牌，构</w:t>
            </w:r>
            <w:r>
              <w:rPr>
                <w:rFonts w:ascii="仿宋_GB2312" w:hAnsi="仿宋_GB2312"/>
                <w:sz w:val="24"/>
              </w:rPr>
              <w:t>建</w:t>
            </w:r>
            <w:r>
              <w:rPr>
                <w:rFonts w:ascii="仿宋_GB2312" w:hAnsi="仿宋_GB2312"/>
                <w:sz w:val="24"/>
              </w:rPr>
              <w:t>“</w:t>
            </w:r>
            <w:r>
              <w:rPr>
                <w:sz w:val="24"/>
              </w:rPr>
              <w:t>1+1+5</w:t>
            </w:r>
            <w:r>
              <w:rPr>
                <w:rFonts w:ascii="仿宋_GB2312" w:hAnsi="仿宋_GB2312"/>
                <w:sz w:val="24"/>
              </w:rPr>
              <w:t>”</w:t>
            </w:r>
            <w:r>
              <w:rPr>
                <w:rFonts w:ascii="仿宋_GB2312" w:hAnsi="仿宋_GB2312"/>
                <w:sz w:val="24"/>
              </w:rPr>
              <w:t>工</w:t>
            </w:r>
            <w:r>
              <w:rPr>
                <w:sz w:val="24"/>
              </w:rPr>
              <w:t>作体系。到</w:t>
            </w:r>
            <w:r>
              <w:rPr>
                <w:sz w:val="24"/>
              </w:rPr>
              <w:t>2025</w:t>
            </w:r>
            <w:r>
              <w:rPr>
                <w:sz w:val="24"/>
              </w:rPr>
              <w:t>年，规划建设</w:t>
            </w:r>
            <w:r>
              <w:rPr>
                <w:sz w:val="24"/>
              </w:rPr>
              <w:t>5</w:t>
            </w:r>
            <w:r>
              <w:rPr>
                <w:sz w:val="24"/>
              </w:rPr>
              <w:t>个市级培训基地和</w:t>
            </w:r>
            <w:r>
              <w:rPr>
                <w:sz w:val="24"/>
              </w:rPr>
              <w:t>5</w:t>
            </w:r>
            <w:r>
              <w:rPr>
                <w:sz w:val="24"/>
              </w:rPr>
              <w:t>个市级名厨工作室，开</w:t>
            </w:r>
            <w:r>
              <w:rPr>
                <w:rFonts w:ascii="仿宋_GB2312" w:hAnsi="仿宋_GB2312"/>
                <w:sz w:val="24"/>
              </w:rPr>
              <w:t>展</w:t>
            </w:r>
            <w:r>
              <w:rPr>
                <w:rFonts w:ascii="仿宋_GB2312" w:hAnsi="仿宋_GB2312"/>
                <w:sz w:val="24"/>
              </w:rPr>
              <w:t>“</w:t>
            </w:r>
            <w:r>
              <w:rPr>
                <w:rFonts w:ascii="仿宋_GB2312" w:hAnsi="仿宋_GB2312"/>
                <w:sz w:val="24"/>
              </w:rPr>
              <w:t>粤菜师傅</w:t>
            </w:r>
            <w:r>
              <w:rPr>
                <w:rFonts w:ascii="仿宋_GB2312" w:hAnsi="仿宋_GB2312"/>
                <w:sz w:val="24"/>
              </w:rPr>
              <w:t>”</w:t>
            </w:r>
            <w:r>
              <w:rPr>
                <w:rFonts w:ascii="仿宋_GB2312" w:hAnsi="仿宋_GB2312"/>
                <w:sz w:val="24"/>
              </w:rPr>
              <w:t>培</w:t>
            </w:r>
            <w:r>
              <w:rPr>
                <w:sz w:val="24"/>
              </w:rPr>
              <w:t>训</w:t>
            </w:r>
            <w:r>
              <w:rPr>
                <w:rFonts w:hint="eastAsia"/>
                <w:sz w:val="24"/>
              </w:rPr>
              <w:t>1</w:t>
            </w:r>
            <w:r>
              <w:rPr>
                <w:rFonts w:hint="eastAsia"/>
                <w:sz w:val="24"/>
              </w:rPr>
              <w:t>万</w:t>
            </w:r>
            <w:r>
              <w:rPr>
                <w:sz w:val="24"/>
              </w:rPr>
              <w:t>人</w:t>
            </w:r>
            <w:r>
              <w:rPr>
                <w:rFonts w:hint="eastAsia"/>
                <w:sz w:val="24"/>
              </w:rPr>
              <w:t>次</w:t>
            </w:r>
            <w:r>
              <w:rPr>
                <w:sz w:val="24"/>
              </w:rPr>
              <w:t>以上，直接带动</w:t>
            </w:r>
            <w:r>
              <w:rPr>
                <w:sz w:val="24"/>
              </w:rPr>
              <w:t>3</w:t>
            </w:r>
            <w:r>
              <w:rPr>
                <w:sz w:val="24"/>
              </w:rPr>
              <w:t>万人次以上实现就业创业。</w:t>
            </w:r>
          </w:p>
          <w:p w:rsidR="000F7FAD" w:rsidRDefault="00BB4424">
            <w:pPr>
              <w:adjustRightInd w:val="0"/>
              <w:snapToGrid w:val="0"/>
              <w:spacing w:line="400" w:lineRule="exact"/>
              <w:ind w:firstLineChars="200" w:firstLine="482"/>
              <w:rPr>
                <w:sz w:val="24"/>
              </w:rPr>
            </w:pPr>
            <w:r>
              <w:rPr>
                <w:b/>
                <w:sz w:val="24"/>
              </w:rPr>
              <w:t>2.</w:t>
            </w:r>
            <w:r>
              <w:rPr>
                <w:b/>
                <w:sz w:val="24"/>
              </w:rPr>
              <w:t>高标准推</w:t>
            </w:r>
            <w:r>
              <w:rPr>
                <w:rFonts w:ascii="仿宋_GB2312" w:hAnsi="仿宋_GB2312"/>
                <w:b/>
                <w:sz w:val="24"/>
              </w:rPr>
              <w:t>动</w:t>
            </w:r>
            <w:r>
              <w:rPr>
                <w:rFonts w:ascii="仿宋_GB2312" w:hAnsi="仿宋_GB2312"/>
                <w:b/>
                <w:sz w:val="24"/>
              </w:rPr>
              <w:t>“</w:t>
            </w:r>
            <w:r>
              <w:rPr>
                <w:rFonts w:ascii="仿宋_GB2312" w:hAnsi="仿宋_GB2312"/>
                <w:b/>
                <w:sz w:val="24"/>
              </w:rPr>
              <w:t>广东技工</w:t>
            </w:r>
            <w:r>
              <w:rPr>
                <w:rFonts w:ascii="仿宋_GB2312" w:hAnsi="仿宋_GB2312"/>
                <w:b/>
                <w:sz w:val="24"/>
              </w:rPr>
              <w:t>”</w:t>
            </w:r>
            <w:r>
              <w:rPr>
                <w:rFonts w:ascii="仿宋_GB2312" w:hAnsi="仿宋_GB2312"/>
                <w:b/>
                <w:sz w:val="24"/>
              </w:rPr>
              <w:t>工</w:t>
            </w:r>
            <w:r>
              <w:rPr>
                <w:b/>
                <w:sz w:val="24"/>
              </w:rPr>
              <w:t>程。</w:t>
            </w:r>
            <w:r>
              <w:rPr>
                <w:rFonts w:hint="eastAsia"/>
                <w:sz w:val="24"/>
              </w:rPr>
              <w:t>促进技工教育与现代产业高质量协同发展，促进技工教育量质提升、产教融合深度发展、产业链专业群对接，打造“广东技工</w:t>
            </w:r>
            <w:r>
              <w:rPr>
                <w:rFonts w:hint="eastAsia"/>
                <w:sz w:val="24"/>
              </w:rPr>
              <w:t xml:space="preserve"> </w:t>
            </w:r>
            <w:r>
              <w:rPr>
                <w:rFonts w:hint="eastAsia"/>
                <w:sz w:val="24"/>
              </w:rPr>
              <w:t>技能生态”</w:t>
            </w:r>
            <w:r>
              <w:rPr>
                <w:rFonts w:hint="eastAsia"/>
                <w:sz w:val="24"/>
              </w:rPr>
              <w:t>工作</w:t>
            </w:r>
            <w:r>
              <w:rPr>
                <w:rFonts w:hint="eastAsia"/>
                <w:sz w:val="24"/>
              </w:rPr>
              <w:t>品牌</w:t>
            </w:r>
            <w:r>
              <w:rPr>
                <w:sz w:val="24"/>
              </w:rPr>
              <w:t>。到</w:t>
            </w:r>
            <w:r>
              <w:rPr>
                <w:sz w:val="24"/>
              </w:rPr>
              <w:t>2025</w:t>
            </w:r>
            <w:r>
              <w:rPr>
                <w:sz w:val="24"/>
              </w:rPr>
              <w:t>年，建设</w:t>
            </w:r>
            <w:r>
              <w:rPr>
                <w:sz w:val="24"/>
              </w:rPr>
              <w:t>50</w:t>
            </w:r>
            <w:r>
              <w:rPr>
                <w:sz w:val="24"/>
              </w:rPr>
              <w:t>个市级高水平校企合作基地，新增设立技能大师工作室</w:t>
            </w:r>
            <w:r>
              <w:rPr>
                <w:sz w:val="24"/>
              </w:rPr>
              <w:t>200</w:t>
            </w:r>
            <w:r>
              <w:rPr>
                <w:sz w:val="24"/>
              </w:rPr>
              <w:t>个，选树</w:t>
            </w:r>
            <w:r>
              <w:rPr>
                <w:sz w:val="24"/>
              </w:rPr>
              <w:t>100</w:t>
            </w:r>
            <w:r>
              <w:rPr>
                <w:sz w:val="24"/>
              </w:rPr>
              <w:t>名技能领军人才，开展各类补贴性职业技能培训</w:t>
            </w:r>
            <w:r>
              <w:rPr>
                <w:sz w:val="24"/>
              </w:rPr>
              <w:t>100</w:t>
            </w:r>
            <w:r>
              <w:rPr>
                <w:sz w:val="24"/>
              </w:rPr>
              <w:t>万人次。</w:t>
            </w:r>
          </w:p>
          <w:p w:rsidR="000F7FAD" w:rsidRDefault="00BB4424">
            <w:pPr>
              <w:adjustRightInd w:val="0"/>
              <w:snapToGrid w:val="0"/>
              <w:spacing w:line="400" w:lineRule="exact"/>
              <w:ind w:firstLineChars="200" w:firstLine="482"/>
              <w:rPr>
                <w:sz w:val="24"/>
              </w:rPr>
            </w:pPr>
            <w:r>
              <w:rPr>
                <w:b/>
                <w:sz w:val="24"/>
              </w:rPr>
              <w:t>3.</w:t>
            </w:r>
            <w:r>
              <w:rPr>
                <w:b/>
                <w:sz w:val="24"/>
              </w:rPr>
              <w:t>高站位</w:t>
            </w:r>
            <w:r>
              <w:rPr>
                <w:rFonts w:ascii="仿宋_GB2312" w:hAnsi="仿宋_GB2312"/>
                <w:b/>
                <w:sz w:val="24"/>
              </w:rPr>
              <w:t>谋划</w:t>
            </w:r>
            <w:r>
              <w:rPr>
                <w:rFonts w:ascii="仿宋_GB2312" w:hAnsi="仿宋_GB2312"/>
                <w:b/>
                <w:sz w:val="24"/>
              </w:rPr>
              <w:t>“</w:t>
            </w:r>
            <w:r>
              <w:rPr>
                <w:rFonts w:ascii="仿宋_GB2312" w:hAnsi="仿宋_GB2312"/>
                <w:b/>
                <w:sz w:val="24"/>
              </w:rPr>
              <w:t>南粤家政</w:t>
            </w:r>
            <w:r>
              <w:rPr>
                <w:rFonts w:ascii="仿宋_GB2312" w:hAnsi="仿宋_GB2312"/>
                <w:b/>
                <w:sz w:val="24"/>
              </w:rPr>
              <w:t>”</w:t>
            </w:r>
            <w:r>
              <w:rPr>
                <w:b/>
                <w:sz w:val="24"/>
              </w:rPr>
              <w:t>工程。</w:t>
            </w:r>
            <w:r>
              <w:rPr>
                <w:sz w:val="24"/>
              </w:rPr>
              <w:t>深入实施母婴、居家、养老、医护四个重点项目培训，扩大家政人才有效供给。结合东莞智能家居产业发展，推动</w:t>
            </w:r>
            <w:r>
              <w:rPr>
                <w:rFonts w:ascii="仿宋_GB2312" w:hAnsi="仿宋_GB2312"/>
                <w:sz w:val="24"/>
              </w:rPr>
              <w:t>“</w:t>
            </w:r>
            <w:r>
              <w:rPr>
                <w:sz w:val="24"/>
              </w:rPr>
              <w:t>人工</w:t>
            </w:r>
            <w:r>
              <w:rPr>
                <w:sz w:val="24"/>
              </w:rPr>
              <w:t>+</w:t>
            </w:r>
            <w:r>
              <w:rPr>
                <w:sz w:val="24"/>
              </w:rPr>
              <w:t>智</w:t>
            </w:r>
            <w:r>
              <w:rPr>
                <w:rFonts w:ascii="仿宋_GB2312" w:hAnsi="仿宋_GB2312"/>
                <w:sz w:val="24"/>
              </w:rPr>
              <w:t>能</w:t>
            </w:r>
            <w:r>
              <w:rPr>
                <w:rFonts w:ascii="仿宋_GB2312" w:hAnsi="仿宋_GB2312"/>
                <w:sz w:val="24"/>
              </w:rPr>
              <w:t>”“</w:t>
            </w:r>
            <w:r>
              <w:rPr>
                <w:rFonts w:ascii="仿宋_GB2312" w:hAnsi="仿宋_GB2312"/>
                <w:sz w:val="24"/>
              </w:rPr>
              <w:t>护</w:t>
            </w:r>
            <w:r>
              <w:rPr>
                <w:sz w:val="24"/>
              </w:rPr>
              <w:t>具</w:t>
            </w:r>
            <w:r>
              <w:rPr>
                <w:sz w:val="24"/>
              </w:rPr>
              <w:t>+</w:t>
            </w:r>
            <w:r>
              <w:rPr>
                <w:sz w:val="24"/>
              </w:rPr>
              <w:t>服</w:t>
            </w:r>
            <w:r>
              <w:rPr>
                <w:rFonts w:ascii="仿宋_GB2312" w:hAnsi="仿宋_GB2312"/>
                <w:sz w:val="24"/>
              </w:rPr>
              <w:t>务</w:t>
            </w:r>
            <w:r>
              <w:rPr>
                <w:rFonts w:ascii="仿宋_GB2312" w:hAnsi="仿宋_GB2312"/>
                <w:sz w:val="24"/>
              </w:rPr>
              <w:t>”</w:t>
            </w:r>
            <w:r>
              <w:rPr>
                <w:sz w:val="24"/>
              </w:rPr>
              <w:t>，打</w:t>
            </w:r>
            <w:r>
              <w:rPr>
                <w:rFonts w:ascii="仿宋_GB2312" w:hAnsi="仿宋_GB2312"/>
                <w:sz w:val="24"/>
              </w:rPr>
              <w:t>造</w:t>
            </w:r>
            <w:r>
              <w:rPr>
                <w:rFonts w:ascii="仿宋_GB2312" w:hAnsi="仿宋_GB2312"/>
                <w:sz w:val="24"/>
              </w:rPr>
              <w:t>“</w:t>
            </w:r>
            <w:r>
              <w:rPr>
                <w:rFonts w:ascii="仿宋_GB2312" w:hAnsi="仿宋_GB2312"/>
                <w:sz w:val="24"/>
              </w:rPr>
              <w:t>南粤家政</w:t>
            </w:r>
            <w:r>
              <w:rPr>
                <w:rFonts w:ascii="仿宋_GB2312" w:hAnsi="仿宋_GB2312"/>
                <w:sz w:val="24"/>
              </w:rPr>
              <w:t xml:space="preserve"> </w:t>
            </w:r>
            <w:r>
              <w:rPr>
                <w:rFonts w:ascii="仿宋_GB2312" w:hAnsi="仿宋_GB2312"/>
                <w:sz w:val="24"/>
              </w:rPr>
              <w:t>品质莞家</w:t>
            </w:r>
            <w:r>
              <w:rPr>
                <w:rFonts w:ascii="仿宋_GB2312" w:hAnsi="仿宋_GB2312"/>
                <w:sz w:val="24"/>
              </w:rPr>
              <w:t>”</w:t>
            </w:r>
            <w:r>
              <w:rPr>
                <w:rFonts w:ascii="仿宋_GB2312" w:hAnsi="仿宋_GB2312"/>
                <w:sz w:val="24"/>
              </w:rPr>
              <w:t>工</w:t>
            </w:r>
            <w:r>
              <w:rPr>
                <w:sz w:val="24"/>
              </w:rPr>
              <w:t>作品牌。到</w:t>
            </w:r>
            <w:r>
              <w:rPr>
                <w:sz w:val="24"/>
              </w:rPr>
              <w:t>2025</w:t>
            </w:r>
            <w:r>
              <w:rPr>
                <w:sz w:val="24"/>
              </w:rPr>
              <w:t>年，开展家政职业技能培训</w:t>
            </w:r>
            <w:r>
              <w:rPr>
                <w:sz w:val="24"/>
              </w:rPr>
              <w:t>5.9</w:t>
            </w:r>
            <w:r>
              <w:rPr>
                <w:sz w:val="24"/>
              </w:rPr>
              <w:t>万人次，促进</w:t>
            </w:r>
            <w:r>
              <w:rPr>
                <w:rFonts w:hint="eastAsia"/>
                <w:sz w:val="24"/>
              </w:rPr>
              <w:t>11.8</w:t>
            </w:r>
            <w:r>
              <w:rPr>
                <w:sz w:val="24"/>
              </w:rPr>
              <w:t>万人次以上稳定和新增就业创业。</w:t>
            </w:r>
          </w:p>
        </w:tc>
      </w:tr>
    </w:tbl>
    <w:p w:rsidR="000F7FAD" w:rsidRDefault="00BB4424">
      <w:pPr>
        <w:pStyle w:val="20"/>
      </w:pPr>
      <w:bookmarkStart w:id="64" w:name="_Toc23742"/>
      <w:bookmarkStart w:id="65" w:name="_Toc19574"/>
      <w:r>
        <w:rPr>
          <w:rFonts w:hint="eastAsia"/>
        </w:rPr>
        <w:t>第六节</w:t>
      </w:r>
      <w:r>
        <w:rPr>
          <w:rFonts w:hint="eastAsia"/>
        </w:rPr>
        <w:t xml:space="preserve"> </w:t>
      </w:r>
      <w:r>
        <w:t xml:space="preserve"> </w:t>
      </w:r>
      <w:r>
        <w:rPr>
          <w:rFonts w:hint="eastAsia"/>
        </w:rPr>
        <w:t>建设技能城市</w:t>
      </w:r>
      <w:bookmarkEnd w:id="64"/>
      <w:bookmarkEnd w:id="65"/>
    </w:p>
    <w:p w:rsidR="000F7FAD" w:rsidRDefault="00BB4424">
      <w:pPr>
        <w:topLinePunct/>
        <w:autoSpaceDE w:val="0"/>
        <w:autoSpaceDN w:val="0"/>
        <w:snapToGrid w:val="0"/>
        <w:spacing w:line="600" w:lineRule="exact"/>
        <w:ind w:firstLineChars="200" w:firstLine="640"/>
        <w:rPr>
          <w:sz w:val="32"/>
          <w:szCs w:val="32"/>
        </w:rPr>
      </w:pPr>
      <w:r>
        <w:rPr>
          <w:rFonts w:ascii="楷体_GB2312" w:eastAsia="楷体_GB2312" w:hint="eastAsia"/>
          <w:sz w:val="32"/>
          <w:szCs w:val="32"/>
        </w:rPr>
        <w:t>打造技能人才竞赛高地。</w:t>
      </w:r>
      <w:r>
        <w:rPr>
          <w:rFonts w:hint="eastAsia"/>
          <w:sz w:val="32"/>
          <w:szCs w:val="32"/>
        </w:rPr>
        <w:t>完善技能竞赛组织、标准、技术</w:t>
      </w:r>
      <w:r>
        <w:rPr>
          <w:rFonts w:hint="eastAsia"/>
          <w:sz w:val="32"/>
          <w:szCs w:val="32"/>
        </w:rPr>
        <w:lastRenderedPageBreak/>
        <w:t>指导体系，积极承办优势专业、产业领域省级和国家级技能大赛，举办“粤菜师傅”“广东技工”“南粤家政”三项工程技能大赛，带动园区、镇（街）办赛和企业大规模练兵。以世赛国赛省赛为牵引，建立各类各级竞赛集训基地，对标世赛标准、对接世界技工教育，促进竞赛成果转化。</w:t>
      </w:r>
    </w:p>
    <w:p w:rsidR="000F7FAD" w:rsidRDefault="00BB4424">
      <w:pPr>
        <w:topLinePunct/>
        <w:autoSpaceDE w:val="0"/>
        <w:autoSpaceDN w:val="0"/>
        <w:snapToGrid w:val="0"/>
        <w:spacing w:line="600" w:lineRule="exact"/>
        <w:ind w:firstLineChars="200" w:firstLine="640"/>
        <w:rPr>
          <w:sz w:val="32"/>
          <w:szCs w:val="32"/>
        </w:rPr>
      </w:pPr>
      <w:r>
        <w:rPr>
          <w:rFonts w:ascii="楷体_GB2312" w:eastAsia="楷体_GB2312" w:hint="eastAsia"/>
          <w:sz w:val="32"/>
          <w:szCs w:val="32"/>
        </w:rPr>
        <w:t>提高技能人才地位和待遇。</w:t>
      </w:r>
      <w:r>
        <w:rPr>
          <w:rFonts w:hint="eastAsia"/>
          <w:sz w:val="32"/>
          <w:szCs w:val="32"/>
        </w:rPr>
        <w:t>健全高技能人才奖励扶持政策，选树</w:t>
      </w:r>
      <w:r>
        <w:rPr>
          <w:rFonts w:hint="eastAsia"/>
          <w:sz w:val="32"/>
          <w:szCs w:val="32"/>
        </w:rPr>
        <w:t>100</w:t>
      </w:r>
      <w:r>
        <w:rPr>
          <w:rFonts w:hint="eastAsia"/>
          <w:sz w:val="32"/>
          <w:szCs w:val="32"/>
        </w:rPr>
        <w:t>名技能领军人才。推动技能竞赛、技能评价结果应用，促进技能人才</w:t>
      </w:r>
      <w:r>
        <w:rPr>
          <w:rFonts w:hint="eastAsia"/>
          <w:sz w:val="32"/>
          <w:szCs w:val="32"/>
        </w:rPr>
        <w:t>评价与培养、使用、薪酬有机结合。探索建立人才培养、科技成果转化、转让管理和奖励等制度，支持高技能人才参与企业人才培养、科技创新和成果转化。</w:t>
      </w:r>
    </w:p>
    <w:p w:rsidR="000F7FAD" w:rsidRDefault="00BB4424">
      <w:pPr>
        <w:topLinePunct/>
        <w:autoSpaceDE w:val="0"/>
        <w:autoSpaceDN w:val="0"/>
        <w:snapToGrid w:val="0"/>
        <w:spacing w:line="600" w:lineRule="exact"/>
        <w:ind w:firstLineChars="200" w:firstLine="640"/>
        <w:rPr>
          <w:rFonts w:eastAsia="宋体"/>
          <w:sz w:val="32"/>
          <w:szCs w:val="32"/>
        </w:rPr>
      </w:pPr>
      <w:r>
        <w:rPr>
          <w:rFonts w:ascii="楷体_GB2312" w:eastAsia="楷体_GB2312" w:hint="eastAsia"/>
          <w:sz w:val="32"/>
          <w:szCs w:val="32"/>
        </w:rPr>
        <w:t>营造崇尚技能社会氛围。</w:t>
      </w:r>
      <w:r>
        <w:rPr>
          <w:rFonts w:hint="eastAsia"/>
          <w:sz w:val="32"/>
          <w:szCs w:val="32"/>
        </w:rPr>
        <w:t>加大“技能人才之都”品牌宣传力度，培育工匠文化，广泛宣传技能人才典型人物和事迹。举办东莞市技能节，探索建设湾区技能公园体系，长效开展技能社会教育，引导树立正确的就业观、择业观、职业观、技能观，把东莞建成崇尚劳动精神劳模精神工匠精神的技能城市。</w:t>
      </w:r>
    </w:p>
    <w:p w:rsidR="000F7FAD" w:rsidRDefault="00BB4424">
      <w:pPr>
        <w:pStyle w:val="1"/>
      </w:pPr>
      <w:bookmarkStart w:id="66" w:name="_Toc26362"/>
      <w:bookmarkStart w:id="67" w:name="_Toc1228"/>
      <w:r>
        <w:rPr>
          <w:rFonts w:hint="eastAsia"/>
        </w:rPr>
        <w:t>第八章</w:t>
      </w:r>
      <w:r>
        <w:rPr>
          <w:rFonts w:hint="eastAsia"/>
        </w:rPr>
        <w:t xml:space="preserve"> </w:t>
      </w:r>
      <w:r>
        <w:t xml:space="preserve"> </w:t>
      </w:r>
      <w:r>
        <w:rPr>
          <w:rFonts w:hint="eastAsia"/>
          <w:spacing w:val="-10"/>
        </w:rPr>
        <w:t>服务实体经济发展</w:t>
      </w:r>
      <w:r>
        <w:rPr>
          <w:rFonts w:hint="eastAsia"/>
          <w:spacing w:val="-10"/>
        </w:rPr>
        <w:t xml:space="preserve"> </w:t>
      </w:r>
      <w:r>
        <w:rPr>
          <w:spacing w:val="-10"/>
        </w:rPr>
        <w:t xml:space="preserve"> </w:t>
      </w:r>
      <w:r>
        <w:rPr>
          <w:rFonts w:hint="eastAsia"/>
          <w:spacing w:val="-10"/>
        </w:rPr>
        <w:t>推进人力资源服务业高质量发展</w:t>
      </w:r>
      <w:bookmarkEnd w:id="66"/>
      <w:bookmarkEnd w:id="67"/>
    </w:p>
    <w:p w:rsidR="000F7FAD" w:rsidRDefault="00BB4424">
      <w:pPr>
        <w:topLinePunct/>
        <w:autoSpaceDE w:val="0"/>
        <w:autoSpaceDN w:val="0"/>
        <w:snapToGrid w:val="0"/>
        <w:spacing w:line="600" w:lineRule="exact"/>
        <w:ind w:firstLineChars="200" w:firstLine="640"/>
        <w:rPr>
          <w:sz w:val="32"/>
          <w:szCs w:val="32"/>
        </w:rPr>
      </w:pPr>
      <w:r>
        <w:rPr>
          <w:rFonts w:hint="eastAsia"/>
          <w:sz w:val="32"/>
          <w:szCs w:val="32"/>
        </w:rPr>
        <w:t>按照“扶持新业态、做强中高端”，立足东莞产业发展需求和就业创业需要，建平台、强机构、优产品、育环境，促进人力资源服务业高质量发展。</w:t>
      </w:r>
    </w:p>
    <w:p w:rsidR="000F7FAD" w:rsidRDefault="00BB4424">
      <w:pPr>
        <w:pStyle w:val="20"/>
      </w:pPr>
      <w:bookmarkStart w:id="68" w:name="_Toc13647"/>
      <w:bookmarkStart w:id="69" w:name="_Toc23147"/>
      <w:r>
        <w:rPr>
          <w:rFonts w:hint="eastAsia"/>
        </w:rPr>
        <w:lastRenderedPageBreak/>
        <w:t>第一节</w:t>
      </w:r>
      <w:r>
        <w:rPr>
          <w:rFonts w:hint="eastAsia"/>
        </w:rPr>
        <w:t xml:space="preserve"> </w:t>
      </w:r>
      <w:r>
        <w:t xml:space="preserve"> </w:t>
      </w:r>
      <w:r>
        <w:rPr>
          <w:rFonts w:hint="eastAsia"/>
        </w:rPr>
        <w:t>健全人力资源服务行业发展机制</w:t>
      </w:r>
      <w:bookmarkEnd w:id="68"/>
      <w:bookmarkEnd w:id="69"/>
    </w:p>
    <w:p w:rsidR="000F7FAD" w:rsidRDefault="00BB4424">
      <w:pPr>
        <w:topLinePunct/>
        <w:autoSpaceDE w:val="0"/>
        <w:autoSpaceDN w:val="0"/>
        <w:snapToGrid w:val="0"/>
        <w:spacing w:line="600" w:lineRule="exact"/>
        <w:ind w:firstLineChars="200" w:firstLine="640"/>
        <w:rPr>
          <w:sz w:val="32"/>
          <w:szCs w:val="32"/>
        </w:rPr>
      </w:pPr>
      <w:r>
        <w:rPr>
          <w:rFonts w:ascii="楷体_GB2312" w:eastAsia="楷体_GB2312" w:hint="eastAsia"/>
          <w:sz w:val="32"/>
          <w:szCs w:val="32"/>
        </w:rPr>
        <w:t>加快行业产业化进程。</w:t>
      </w:r>
      <w:r>
        <w:rPr>
          <w:rFonts w:hint="eastAsia"/>
          <w:sz w:val="32"/>
          <w:szCs w:val="32"/>
        </w:rPr>
        <w:t>建设人力资源服务产业园先行区，鼓励有条件、有需求的园区、镇（街）建设各具特色的人力资源服务产业园。落实入驻奖励、租金补贴、税收优惠以及高管子女入学、医疗保障等优惠政策，引进一批优质人力资源服务机构，鼓励其总部迁入我市，享受总部企业优惠政策。以市级人力资源服务产业园、行业龙头机构为载体，建成一批市级人力资源服务业标准化示</w:t>
      </w:r>
      <w:r>
        <w:rPr>
          <w:rFonts w:hint="eastAsia"/>
          <w:sz w:val="32"/>
          <w:szCs w:val="32"/>
        </w:rPr>
        <w:t>范基地。</w:t>
      </w:r>
    </w:p>
    <w:p w:rsidR="000F7FAD" w:rsidRDefault="00BB4424">
      <w:pPr>
        <w:topLinePunct/>
        <w:autoSpaceDE w:val="0"/>
        <w:autoSpaceDN w:val="0"/>
        <w:snapToGrid w:val="0"/>
        <w:spacing w:line="600" w:lineRule="exact"/>
        <w:ind w:firstLineChars="200" w:firstLine="640"/>
        <w:rPr>
          <w:sz w:val="32"/>
          <w:szCs w:val="32"/>
        </w:rPr>
      </w:pPr>
      <w:r>
        <w:rPr>
          <w:rFonts w:ascii="楷体_GB2312" w:eastAsia="楷体_GB2312" w:hint="eastAsia"/>
          <w:sz w:val="32"/>
          <w:szCs w:val="32"/>
        </w:rPr>
        <w:t>推进行业诚信体系建设。</w:t>
      </w:r>
      <w:r>
        <w:rPr>
          <w:rFonts w:hint="eastAsia"/>
          <w:sz w:val="32"/>
          <w:szCs w:val="32"/>
        </w:rPr>
        <w:t>建立人力资源服务机构诚信服务等级评定制度，深入开展人力资源服务机构诚信主题创建行动，打造一批人力资源诚信服务示范机构。建立人力资源服务机构诚信示范“红黑名单”制度，形成诚实守信、规范发展的共同理念和良好氛围，不断提升诚信服务、优质服务水平。</w:t>
      </w:r>
    </w:p>
    <w:p w:rsidR="000F7FAD" w:rsidRDefault="00BB4424">
      <w:pPr>
        <w:topLinePunct/>
        <w:autoSpaceDE w:val="0"/>
        <w:autoSpaceDN w:val="0"/>
        <w:snapToGrid w:val="0"/>
        <w:spacing w:line="600" w:lineRule="exact"/>
        <w:ind w:firstLineChars="200" w:firstLine="640"/>
        <w:rPr>
          <w:sz w:val="32"/>
          <w:szCs w:val="32"/>
        </w:rPr>
      </w:pPr>
      <w:r>
        <w:rPr>
          <w:rFonts w:ascii="楷体_GB2312" w:eastAsia="楷体_GB2312" w:hint="eastAsia"/>
          <w:sz w:val="32"/>
          <w:szCs w:val="32"/>
        </w:rPr>
        <w:t>促进人力资源服务行业自律。</w:t>
      </w:r>
      <w:r>
        <w:rPr>
          <w:rFonts w:hint="eastAsia"/>
          <w:sz w:val="32"/>
          <w:szCs w:val="32"/>
        </w:rPr>
        <w:t>成立人力资源服务产业促进会，指导行业协会制定行业自律规范，推进行业诚信建设，促进行业有序发展。落实行业协会对会员机构人力资源服务活动的指导、监督责任，全面提升人力资源服务效能。</w:t>
      </w:r>
    </w:p>
    <w:tbl>
      <w:tblPr>
        <w:tblW w:w="77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70"/>
      </w:tblGrid>
      <w:tr w:rsidR="000F7FAD">
        <w:trPr>
          <w:jc w:val="center"/>
        </w:trPr>
        <w:tc>
          <w:tcPr>
            <w:tcW w:w="7763" w:type="dxa"/>
            <w:tcBorders>
              <w:top w:val="single" w:sz="4" w:space="0" w:color="000000"/>
              <w:left w:val="single" w:sz="4" w:space="0" w:color="000000"/>
              <w:bottom w:val="single" w:sz="4" w:space="0" w:color="000000"/>
              <w:right w:val="single" w:sz="4" w:space="0" w:color="000000"/>
            </w:tcBorders>
            <w:vAlign w:val="center"/>
          </w:tcPr>
          <w:p w:rsidR="000F7FAD" w:rsidRDefault="00BB4424">
            <w:pPr>
              <w:adjustRightInd w:val="0"/>
              <w:snapToGrid w:val="0"/>
              <w:spacing w:line="480" w:lineRule="exact"/>
              <w:jc w:val="center"/>
              <w:rPr>
                <w:rFonts w:eastAsia="黑体"/>
                <w:szCs w:val="30"/>
              </w:rPr>
            </w:pPr>
            <w:r>
              <w:rPr>
                <w:rFonts w:eastAsia="黑体" w:hint="eastAsia"/>
                <w:szCs w:val="30"/>
              </w:rPr>
              <w:t>专栏</w:t>
            </w:r>
            <w:r>
              <w:rPr>
                <w:rFonts w:eastAsia="黑体" w:hint="eastAsia"/>
                <w:szCs w:val="30"/>
              </w:rPr>
              <w:t>11</w:t>
            </w:r>
            <w:r>
              <w:rPr>
                <w:rFonts w:eastAsia="黑体"/>
                <w:szCs w:val="30"/>
              </w:rPr>
              <w:t xml:space="preserve">  </w:t>
            </w:r>
            <w:r>
              <w:rPr>
                <w:rFonts w:ascii="黑体" w:eastAsia="黑体" w:hAnsi="宋体" w:hint="eastAsia"/>
                <w:szCs w:val="30"/>
              </w:rPr>
              <w:t>人力资源服务</w:t>
            </w:r>
            <w:r>
              <w:rPr>
                <w:rFonts w:eastAsia="黑体" w:hint="eastAsia"/>
                <w:szCs w:val="30"/>
              </w:rPr>
              <w:t>业高质量发展行动</w:t>
            </w:r>
          </w:p>
        </w:tc>
      </w:tr>
      <w:tr w:rsidR="000F7FAD">
        <w:trPr>
          <w:trHeight w:val="699"/>
          <w:jc w:val="center"/>
        </w:trPr>
        <w:tc>
          <w:tcPr>
            <w:tcW w:w="7763" w:type="dxa"/>
            <w:tcBorders>
              <w:top w:val="single" w:sz="4" w:space="0" w:color="000000"/>
              <w:left w:val="single" w:sz="4" w:space="0" w:color="000000"/>
              <w:bottom w:val="single" w:sz="4" w:space="0" w:color="000000"/>
              <w:right w:val="single" w:sz="4" w:space="0" w:color="000000"/>
            </w:tcBorders>
            <w:vAlign w:val="center"/>
          </w:tcPr>
          <w:p w:rsidR="000F7FAD" w:rsidRDefault="00BB4424">
            <w:pPr>
              <w:spacing w:line="400" w:lineRule="exact"/>
              <w:ind w:firstLineChars="200" w:firstLine="482"/>
              <w:rPr>
                <w:sz w:val="24"/>
              </w:rPr>
            </w:pPr>
            <w:r>
              <w:rPr>
                <w:b/>
                <w:bCs/>
                <w:sz w:val="24"/>
              </w:rPr>
              <w:t>1.</w:t>
            </w:r>
            <w:r>
              <w:rPr>
                <w:b/>
                <w:bCs/>
                <w:sz w:val="24"/>
              </w:rPr>
              <w:t>健全政策体系。</w:t>
            </w:r>
            <w:r>
              <w:rPr>
                <w:rFonts w:hint="eastAsia"/>
                <w:sz w:val="24"/>
              </w:rPr>
              <w:t>实施人力资源服务业高质量发展意见</w:t>
            </w:r>
            <w:r>
              <w:rPr>
                <w:sz w:val="24"/>
              </w:rPr>
              <w:t>，</w:t>
            </w:r>
            <w:r>
              <w:rPr>
                <w:rFonts w:hint="eastAsia"/>
                <w:sz w:val="24"/>
              </w:rPr>
              <w:t>加快制定机构奖励办法、行业领军企业和领军人才评定管理办法、从业人员培训管理办法、服务机构管理办法等配套政策，构建“</w:t>
            </w:r>
            <w:r>
              <w:rPr>
                <w:rFonts w:hint="eastAsia"/>
                <w:sz w:val="24"/>
              </w:rPr>
              <w:t>1+N</w:t>
            </w:r>
            <w:r>
              <w:rPr>
                <w:rFonts w:hint="eastAsia"/>
                <w:sz w:val="24"/>
              </w:rPr>
              <w:t>”政策体系</w:t>
            </w:r>
            <w:r>
              <w:rPr>
                <w:sz w:val="24"/>
              </w:rPr>
              <w:t>。</w:t>
            </w:r>
          </w:p>
          <w:p w:rsidR="000F7FAD" w:rsidRDefault="00BB4424">
            <w:pPr>
              <w:spacing w:line="400" w:lineRule="exact"/>
              <w:ind w:firstLineChars="200" w:firstLine="482"/>
              <w:rPr>
                <w:sz w:val="24"/>
              </w:rPr>
            </w:pPr>
            <w:r>
              <w:rPr>
                <w:b/>
                <w:bCs/>
                <w:sz w:val="24"/>
              </w:rPr>
              <w:t>2.</w:t>
            </w:r>
            <w:r>
              <w:rPr>
                <w:b/>
                <w:bCs/>
                <w:sz w:val="24"/>
              </w:rPr>
              <w:t>建设产业平台。</w:t>
            </w:r>
            <w:r>
              <w:rPr>
                <w:rFonts w:hint="eastAsia"/>
                <w:sz w:val="24"/>
              </w:rPr>
              <w:t>建设东莞市人力资源服务产业园先行区，在全市范</w:t>
            </w:r>
            <w:r>
              <w:rPr>
                <w:rFonts w:hint="eastAsia"/>
                <w:sz w:val="24"/>
              </w:rPr>
              <w:lastRenderedPageBreak/>
              <w:t>围形成若干个人力资源产业发展集聚区域。</w:t>
            </w:r>
            <w:r>
              <w:rPr>
                <w:sz w:val="24"/>
              </w:rPr>
              <w:t>到</w:t>
            </w:r>
            <w:r>
              <w:rPr>
                <w:sz w:val="24"/>
              </w:rPr>
              <w:t>2025</w:t>
            </w:r>
            <w:r>
              <w:rPr>
                <w:sz w:val="24"/>
              </w:rPr>
              <w:t>年，创建至少</w:t>
            </w:r>
            <w:r>
              <w:rPr>
                <w:sz w:val="24"/>
              </w:rPr>
              <w:t>3</w:t>
            </w:r>
            <w:r>
              <w:rPr>
                <w:sz w:val="24"/>
              </w:rPr>
              <w:t>个市级产业园、</w:t>
            </w:r>
            <w:r>
              <w:rPr>
                <w:sz w:val="24"/>
              </w:rPr>
              <w:t>2</w:t>
            </w:r>
            <w:r>
              <w:rPr>
                <w:sz w:val="24"/>
              </w:rPr>
              <w:t>个省级产业园和</w:t>
            </w:r>
            <w:r>
              <w:rPr>
                <w:sz w:val="24"/>
              </w:rPr>
              <w:t>1</w:t>
            </w:r>
            <w:r>
              <w:rPr>
                <w:sz w:val="24"/>
              </w:rPr>
              <w:t>个国家级产业园。</w:t>
            </w:r>
          </w:p>
          <w:p w:rsidR="000F7FAD" w:rsidRDefault="00BB4424">
            <w:pPr>
              <w:spacing w:line="400" w:lineRule="exact"/>
              <w:ind w:firstLineChars="200" w:firstLine="482"/>
              <w:rPr>
                <w:sz w:val="24"/>
              </w:rPr>
            </w:pPr>
            <w:r>
              <w:rPr>
                <w:rFonts w:hint="eastAsia"/>
                <w:b/>
                <w:bCs/>
                <w:sz w:val="24"/>
              </w:rPr>
              <w:t>3.</w:t>
            </w:r>
            <w:r>
              <w:rPr>
                <w:rFonts w:hint="eastAsia"/>
                <w:b/>
                <w:bCs/>
                <w:sz w:val="24"/>
              </w:rPr>
              <w:t>培育骨干机构。</w:t>
            </w:r>
            <w:r>
              <w:rPr>
                <w:rFonts w:hint="eastAsia"/>
                <w:sz w:val="24"/>
              </w:rPr>
              <w:t>加大对人力资源服务机构的投融资支持力度。支持有条件的人力资源服务机构进行现代企业制度改革，培育若干集团</w:t>
            </w:r>
            <w:r>
              <w:rPr>
                <w:rFonts w:hint="eastAsia"/>
                <w:sz w:val="24"/>
              </w:rPr>
              <w:t>化、规模化、品牌化运作的人力资源服务企业集团。鼓励机构注册和使用人力资源服务商标，形成一批东莞品牌的知名机构。</w:t>
            </w:r>
          </w:p>
          <w:p w:rsidR="000F7FAD" w:rsidRDefault="00BB4424">
            <w:pPr>
              <w:spacing w:line="400" w:lineRule="exact"/>
              <w:ind w:firstLineChars="200" w:firstLine="482"/>
            </w:pPr>
            <w:r>
              <w:rPr>
                <w:rFonts w:hint="eastAsia"/>
                <w:b/>
                <w:bCs/>
                <w:sz w:val="24"/>
              </w:rPr>
              <w:t>4.</w:t>
            </w:r>
            <w:r>
              <w:rPr>
                <w:rFonts w:hint="eastAsia"/>
                <w:b/>
                <w:bCs/>
                <w:sz w:val="24"/>
              </w:rPr>
              <w:t>提升服务业态。</w:t>
            </w:r>
            <w:r>
              <w:rPr>
                <w:rFonts w:hint="eastAsia"/>
                <w:sz w:val="24"/>
              </w:rPr>
              <w:t>开展人力资源服务机构与企业供需对接会，培养企业使用人力资源服务的习惯和能力。推进人力资源服务产品、管理和制度创新，</w:t>
            </w:r>
            <w:r>
              <w:rPr>
                <w:sz w:val="24"/>
              </w:rPr>
              <w:t>规范劳务派遣和外包服务，做优招聘、培训，做强咨询、测评、软件和系统服务，</w:t>
            </w:r>
            <w:r>
              <w:rPr>
                <w:rFonts w:hint="eastAsia"/>
                <w:sz w:val="24"/>
              </w:rPr>
              <w:t>促进服务业态和品质逐步提升。</w:t>
            </w:r>
          </w:p>
        </w:tc>
      </w:tr>
    </w:tbl>
    <w:p w:rsidR="000F7FAD" w:rsidRDefault="00BB4424">
      <w:pPr>
        <w:pStyle w:val="20"/>
      </w:pPr>
      <w:bookmarkStart w:id="70" w:name="_Toc92812721"/>
      <w:bookmarkStart w:id="71" w:name="_Toc15604"/>
      <w:bookmarkStart w:id="72" w:name="_Toc19406"/>
      <w:r>
        <w:rPr>
          <w:rFonts w:hint="eastAsia"/>
        </w:rPr>
        <w:lastRenderedPageBreak/>
        <w:t>第二节</w:t>
      </w:r>
      <w:r>
        <w:rPr>
          <w:rFonts w:eastAsia="宋体" w:hint="eastAsia"/>
        </w:rPr>
        <w:t xml:space="preserve"> </w:t>
      </w:r>
      <w:r>
        <w:rPr>
          <w:rFonts w:hint="eastAsia"/>
        </w:rPr>
        <w:t xml:space="preserve"> </w:t>
      </w:r>
      <w:bookmarkEnd w:id="70"/>
      <w:r>
        <w:rPr>
          <w:rFonts w:hint="eastAsia"/>
        </w:rPr>
        <w:t>提升人力资源服务效能</w:t>
      </w:r>
      <w:bookmarkEnd w:id="71"/>
      <w:bookmarkEnd w:id="72"/>
    </w:p>
    <w:p w:rsidR="000F7FAD" w:rsidRDefault="00BB4424">
      <w:pPr>
        <w:topLinePunct/>
        <w:autoSpaceDE w:val="0"/>
        <w:autoSpaceDN w:val="0"/>
        <w:snapToGrid w:val="0"/>
        <w:spacing w:line="600" w:lineRule="exact"/>
        <w:ind w:firstLineChars="200" w:firstLine="640"/>
        <w:rPr>
          <w:sz w:val="32"/>
          <w:szCs w:val="32"/>
        </w:rPr>
      </w:pPr>
      <w:r>
        <w:rPr>
          <w:rFonts w:ascii="楷体_GB2312" w:eastAsia="楷体_GB2312" w:hint="eastAsia"/>
          <w:sz w:val="32"/>
          <w:szCs w:val="32"/>
        </w:rPr>
        <w:t>提升服务供给能力。</w:t>
      </w:r>
      <w:r>
        <w:rPr>
          <w:rFonts w:hint="eastAsia"/>
          <w:sz w:val="32"/>
          <w:szCs w:val="32"/>
        </w:rPr>
        <w:t>开展人力资源服务优秀创新项目评审，支持人力资源服务机构发展人才寻访、人力资源测评等新兴业态。推进人力资源服务专业化分工，鼓励龙头企业全面发展，提供专业化、全链条服务。推动人力资源服务机构深度融入制造业产业链。加强人力资源服务业与职业教育衔接，推进人力资源服务产品定制化。建立健全人力资源服务人才培养开发体系，完善人力资源管理专业职称评审制度。加快行业骨干人才和基础人才培养培训。</w:t>
      </w:r>
    </w:p>
    <w:p w:rsidR="000F7FAD" w:rsidRDefault="00BB4424">
      <w:pPr>
        <w:topLinePunct/>
        <w:autoSpaceDE w:val="0"/>
        <w:autoSpaceDN w:val="0"/>
        <w:snapToGrid w:val="0"/>
        <w:spacing w:line="600" w:lineRule="exact"/>
        <w:ind w:firstLineChars="200" w:firstLine="640"/>
        <w:rPr>
          <w:sz w:val="32"/>
          <w:szCs w:val="32"/>
        </w:rPr>
      </w:pPr>
      <w:r>
        <w:rPr>
          <w:rFonts w:ascii="楷体_GB2312" w:eastAsia="楷体_GB2312" w:hint="eastAsia"/>
          <w:sz w:val="32"/>
          <w:szCs w:val="32"/>
        </w:rPr>
        <w:t>推进行业数字化转型。</w:t>
      </w:r>
      <w:r>
        <w:rPr>
          <w:rFonts w:hint="eastAsia"/>
          <w:sz w:val="32"/>
          <w:szCs w:val="32"/>
        </w:rPr>
        <w:t>构建全面覆盖、统一规范的人力资源公共服务信息体系，完善数据信息协同共享机制。推进行业数字化转型，鼓励人力资源服务</w:t>
      </w:r>
      <w:r>
        <w:rPr>
          <w:rFonts w:hint="eastAsia"/>
          <w:sz w:val="32"/>
          <w:szCs w:val="32"/>
        </w:rPr>
        <w:t>机构应用数字化技术提升服务水平。加快建立人力资源服务指数体系，加强人力资源供求、</w:t>
      </w:r>
      <w:r>
        <w:rPr>
          <w:rFonts w:hint="eastAsia"/>
          <w:sz w:val="32"/>
          <w:szCs w:val="32"/>
        </w:rPr>
        <w:lastRenderedPageBreak/>
        <w:t>薪酬等指数研究。建立人力资源市场信息监测机制，定期发布人力资源服务业发展报告。</w:t>
      </w:r>
    </w:p>
    <w:p w:rsidR="000F7FAD" w:rsidRDefault="00BB4424">
      <w:pPr>
        <w:topLinePunct/>
        <w:autoSpaceDE w:val="0"/>
        <w:autoSpaceDN w:val="0"/>
        <w:snapToGrid w:val="0"/>
        <w:spacing w:line="600" w:lineRule="exact"/>
        <w:ind w:firstLineChars="200" w:firstLine="640"/>
        <w:rPr>
          <w:sz w:val="32"/>
          <w:szCs w:val="32"/>
        </w:rPr>
      </w:pPr>
      <w:r>
        <w:rPr>
          <w:rFonts w:ascii="楷体_GB2312" w:eastAsia="楷体_GB2312" w:hint="eastAsia"/>
          <w:sz w:val="32"/>
          <w:szCs w:val="32"/>
        </w:rPr>
        <w:t>搭建交流对接合作平台。</w:t>
      </w:r>
      <w:r>
        <w:rPr>
          <w:rFonts w:hint="eastAsia"/>
          <w:sz w:val="32"/>
          <w:szCs w:val="32"/>
        </w:rPr>
        <w:t>打造人力资源服务合作交流会、创新大赛以及机构联系交流平台、员工素质提升平台、产业对接平台、对外宣传平台、电子交易平台、沟通合作平台等“一会一赛六平台”服务体系。举办全国性人力资源服务供需对接、服务产品推介、高峰论坛等活动。推行“政府</w:t>
      </w:r>
      <w:r>
        <w:rPr>
          <w:rFonts w:hint="eastAsia"/>
          <w:sz w:val="32"/>
          <w:szCs w:val="32"/>
        </w:rPr>
        <w:t>+</w:t>
      </w:r>
      <w:r>
        <w:rPr>
          <w:rFonts w:hint="eastAsia"/>
          <w:sz w:val="32"/>
          <w:szCs w:val="32"/>
        </w:rPr>
        <w:t>机构</w:t>
      </w:r>
      <w:r>
        <w:rPr>
          <w:rFonts w:hint="eastAsia"/>
          <w:sz w:val="32"/>
          <w:szCs w:val="32"/>
        </w:rPr>
        <w:t>+</w:t>
      </w:r>
      <w:r>
        <w:rPr>
          <w:rFonts w:hint="eastAsia"/>
          <w:sz w:val="32"/>
          <w:szCs w:val="32"/>
        </w:rPr>
        <w:t>学校</w:t>
      </w:r>
      <w:r>
        <w:rPr>
          <w:rFonts w:hint="eastAsia"/>
          <w:sz w:val="32"/>
          <w:szCs w:val="32"/>
        </w:rPr>
        <w:t>+</w:t>
      </w:r>
      <w:r>
        <w:rPr>
          <w:rFonts w:hint="eastAsia"/>
          <w:sz w:val="32"/>
          <w:szCs w:val="32"/>
        </w:rPr>
        <w:t>企业”引才模式，发挥人力资源服务机构在市场化引才中的作用。</w:t>
      </w:r>
    </w:p>
    <w:p w:rsidR="000F7FAD" w:rsidRDefault="00BB4424">
      <w:pPr>
        <w:pStyle w:val="1"/>
      </w:pPr>
      <w:bookmarkStart w:id="73" w:name="_Toc24809"/>
      <w:bookmarkStart w:id="74" w:name="_Toc5743"/>
      <w:r>
        <w:rPr>
          <w:rFonts w:hint="eastAsia"/>
        </w:rPr>
        <w:t>第九章</w:t>
      </w:r>
      <w:r>
        <w:rPr>
          <w:rFonts w:hint="eastAsia"/>
        </w:rPr>
        <w:t xml:space="preserve"> </w:t>
      </w:r>
      <w:r>
        <w:t xml:space="preserve"> </w:t>
      </w:r>
      <w:r>
        <w:rPr>
          <w:rFonts w:hint="eastAsia"/>
        </w:rPr>
        <w:t>健全劳动关系协</w:t>
      </w:r>
      <w:r>
        <w:rPr>
          <w:rFonts w:hint="eastAsia"/>
        </w:rPr>
        <w:t>调机制</w:t>
      </w:r>
      <w:r>
        <w:rPr>
          <w:rFonts w:hint="eastAsia"/>
        </w:rPr>
        <w:t xml:space="preserve"> </w:t>
      </w:r>
      <w:r>
        <w:rPr>
          <w:rFonts w:hint="eastAsia"/>
          <w:spacing w:val="-10"/>
        </w:rPr>
        <w:t>构建新型和谐劳动关系</w:t>
      </w:r>
      <w:bookmarkEnd w:id="73"/>
      <w:bookmarkEnd w:id="74"/>
      <w:r>
        <w:rPr>
          <w:rFonts w:hint="eastAsia"/>
          <w:spacing w:val="-10"/>
        </w:rPr>
        <w:t xml:space="preserve"> </w:t>
      </w:r>
      <w:r>
        <w:rPr>
          <w:spacing w:val="-10"/>
        </w:rPr>
        <w:t xml:space="preserve"> </w:t>
      </w:r>
    </w:p>
    <w:p w:rsidR="000F7FAD" w:rsidRDefault="00BB4424">
      <w:pPr>
        <w:topLinePunct/>
        <w:autoSpaceDE w:val="0"/>
        <w:autoSpaceDN w:val="0"/>
        <w:snapToGrid w:val="0"/>
        <w:spacing w:line="600" w:lineRule="exact"/>
        <w:ind w:firstLineChars="200" w:firstLine="640"/>
        <w:rPr>
          <w:sz w:val="32"/>
          <w:szCs w:val="32"/>
        </w:rPr>
      </w:pPr>
      <w:r>
        <w:rPr>
          <w:rFonts w:hint="eastAsia"/>
          <w:sz w:val="32"/>
          <w:szCs w:val="32"/>
        </w:rPr>
        <w:t>全面加强劳动关系治理体系和治理能力建设，提高劳动者权益保障水平，有效预防和化解劳资矛盾，构建规范有序、公正合理、合作共赢、和谐稳定的劳动关系，助力营商环境优化，打造</w:t>
      </w:r>
      <w:r>
        <w:rPr>
          <w:rFonts w:hint="eastAsia"/>
          <w:sz w:val="32"/>
          <w:szCs w:val="32"/>
        </w:rPr>
        <w:t>新型和谐劳动</w:t>
      </w:r>
      <w:r>
        <w:rPr>
          <w:rFonts w:hint="eastAsia"/>
          <w:sz w:val="32"/>
          <w:szCs w:val="32"/>
        </w:rPr>
        <w:t>关系城市。</w:t>
      </w:r>
    </w:p>
    <w:p w:rsidR="000F7FAD" w:rsidRDefault="00BB4424">
      <w:pPr>
        <w:pStyle w:val="20"/>
      </w:pPr>
      <w:bookmarkStart w:id="75" w:name="_Toc28943"/>
      <w:bookmarkStart w:id="76" w:name="_Toc5218"/>
      <w:r>
        <w:rPr>
          <w:rFonts w:hint="eastAsia"/>
        </w:rPr>
        <w:t>第一节</w:t>
      </w:r>
      <w:r>
        <w:rPr>
          <w:rFonts w:eastAsia="宋体" w:hint="eastAsia"/>
        </w:rPr>
        <w:t xml:space="preserve"> </w:t>
      </w:r>
      <w:r>
        <w:rPr>
          <w:rFonts w:hint="eastAsia"/>
        </w:rPr>
        <w:t xml:space="preserve"> </w:t>
      </w:r>
      <w:r>
        <w:rPr>
          <w:rFonts w:hint="eastAsia"/>
        </w:rPr>
        <w:t>加强劳动关系协调能力建设</w:t>
      </w:r>
      <w:bookmarkEnd w:id="75"/>
      <w:bookmarkEnd w:id="76"/>
    </w:p>
    <w:p w:rsidR="000F7FAD" w:rsidRDefault="00BB4424">
      <w:pPr>
        <w:topLinePunct/>
        <w:autoSpaceDE w:val="0"/>
        <w:autoSpaceDN w:val="0"/>
        <w:snapToGrid w:val="0"/>
        <w:spacing w:line="600" w:lineRule="exact"/>
        <w:ind w:firstLineChars="200" w:firstLine="640"/>
        <w:rPr>
          <w:sz w:val="32"/>
          <w:szCs w:val="32"/>
        </w:rPr>
      </w:pPr>
      <w:r>
        <w:rPr>
          <w:rFonts w:ascii="楷体_GB2312" w:eastAsia="楷体_GB2312" w:hint="eastAsia"/>
          <w:sz w:val="32"/>
          <w:szCs w:val="32"/>
        </w:rPr>
        <w:t>完善劳动关系协调机制。</w:t>
      </w:r>
      <w:r>
        <w:rPr>
          <w:rFonts w:hint="eastAsia"/>
          <w:sz w:val="32"/>
          <w:szCs w:val="32"/>
        </w:rPr>
        <w:t>健全劳动合同管理制度，推行电子劳动合同示范文本，实现劳动合同签订全员覆盖。完善灵活就业、新业态从业人员劳动权益保障机制。完善集体协商制度，扩大集体协商覆盖面。构建多层次劳动关系协调机制，完善政府、工会、企业劳动关系三方四</w:t>
      </w:r>
      <w:r>
        <w:rPr>
          <w:rFonts w:hint="eastAsia"/>
          <w:sz w:val="32"/>
          <w:szCs w:val="32"/>
        </w:rPr>
        <w:t>家工作机制。</w:t>
      </w:r>
    </w:p>
    <w:p w:rsidR="000F7FAD" w:rsidRDefault="00BB4424">
      <w:pPr>
        <w:topLinePunct/>
        <w:autoSpaceDE w:val="0"/>
        <w:autoSpaceDN w:val="0"/>
        <w:snapToGrid w:val="0"/>
        <w:spacing w:line="600" w:lineRule="exact"/>
        <w:ind w:firstLineChars="200" w:firstLine="640"/>
        <w:rPr>
          <w:sz w:val="32"/>
          <w:szCs w:val="32"/>
        </w:rPr>
      </w:pPr>
      <w:r>
        <w:rPr>
          <w:rFonts w:ascii="楷体_GB2312" w:eastAsia="楷体_GB2312" w:hint="eastAsia"/>
          <w:sz w:val="32"/>
          <w:szCs w:val="32"/>
        </w:rPr>
        <w:lastRenderedPageBreak/>
        <w:t>创新和谐善治治理路径。</w:t>
      </w:r>
      <w:r>
        <w:rPr>
          <w:rFonts w:hint="eastAsia"/>
          <w:sz w:val="32"/>
          <w:szCs w:val="32"/>
        </w:rPr>
        <w:t>加强与深圳沟通协作，探索适应新技术、新业态、新产业、新模式发展需要的特殊工时管理制度。开展构建和谐劳动关系专题宣传月活动，推出“线上普法小动画”，组织监察执法人员成立宣讲团，促进企业、员工、市场的良性互动和成长。</w:t>
      </w:r>
      <w:r>
        <w:rPr>
          <w:rFonts w:hint="eastAsia"/>
          <w:sz w:val="32"/>
          <w:szCs w:val="32"/>
        </w:rPr>
        <w:t xml:space="preserve"> </w:t>
      </w:r>
    </w:p>
    <w:p w:rsidR="000F7FAD" w:rsidRDefault="00BB4424">
      <w:pPr>
        <w:pStyle w:val="a3"/>
        <w:spacing w:line="600" w:lineRule="exact"/>
        <w:ind w:right="-36" w:firstLineChars="200" w:firstLine="640"/>
        <w:rPr>
          <w:sz w:val="32"/>
          <w:szCs w:val="32"/>
        </w:rPr>
      </w:pPr>
      <w:r>
        <w:rPr>
          <w:rFonts w:ascii="楷体_GB2312" w:eastAsia="楷体_GB2312" w:hint="eastAsia"/>
          <w:sz w:val="32"/>
          <w:szCs w:val="32"/>
        </w:rPr>
        <w:t>构建劳务派遣系统治理模式。</w:t>
      </w:r>
      <w:r>
        <w:rPr>
          <w:rFonts w:hint="eastAsia"/>
          <w:sz w:val="32"/>
          <w:szCs w:val="32"/>
        </w:rPr>
        <w:t>落实劳务派遣许可实施细则，把严准入关口，推广</w:t>
      </w:r>
      <w:r>
        <w:rPr>
          <w:rFonts w:hint="eastAsia"/>
          <w:sz w:val="32"/>
          <w:szCs w:val="32"/>
        </w:rPr>
        <w:t>劳务</w:t>
      </w:r>
      <w:r>
        <w:rPr>
          <w:rFonts w:hint="eastAsia"/>
          <w:sz w:val="32"/>
          <w:szCs w:val="32"/>
        </w:rPr>
        <w:t>派遣协议及</w:t>
      </w:r>
      <w:r>
        <w:rPr>
          <w:rFonts w:hint="eastAsia"/>
          <w:sz w:val="32"/>
          <w:szCs w:val="32"/>
        </w:rPr>
        <w:t>劳动</w:t>
      </w:r>
      <w:r>
        <w:rPr>
          <w:rFonts w:hint="eastAsia"/>
          <w:sz w:val="32"/>
          <w:szCs w:val="32"/>
        </w:rPr>
        <w:t>合同范本。加大劳务派遣监管力度，严查劳务派遣参保、劳动合同签订情况。推广劳务派遣服务指导性规范，开展等级划分与评定工作，建立工价监测机制，发布劳务派遣红黑榜。</w:t>
      </w:r>
    </w:p>
    <w:p w:rsidR="000F7FAD" w:rsidRDefault="00BB4424">
      <w:pPr>
        <w:topLinePunct/>
        <w:autoSpaceDE w:val="0"/>
        <w:autoSpaceDN w:val="0"/>
        <w:snapToGrid w:val="0"/>
        <w:spacing w:line="600" w:lineRule="exact"/>
        <w:ind w:firstLineChars="200" w:firstLine="640"/>
        <w:rPr>
          <w:sz w:val="32"/>
          <w:szCs w:val="32"/>
        </w:rPr>
      </w:pPr>
      <w:r>
        <w:rPr>
          <w:rFonts w:ascii="楷体_GB2312" w:eastAsia="楷体_GB2312" w:hint="eastAsia"/>
          <w:sz w:val="32"/>
          <w:szCs w:val="32"/>
        </w:rPr>
        <w:t>加强劳动关系预警研判。</w:t>
      </w:r>
      <w:r>
        <w:rPr>
          <w:rFonts w:hint="eastAsia"/>
          <w:sz w:val="32"/>
          <w:szCs w:val="32"/>
        </w:rPr>
        <w:t>优化劳动关系风险预警系统，提高劳资风险预判的前瞻性，提升重大劳资风险防范及重大舆情监测应对能力。适应新经济发展形势，加强灵活用工纠纷预警研判。完善企业经济性裁员监测制度，指导企业依法制定裁员方案，妥善处置劳资纠纷。</w:t>
      </w:r>
    </w:p>
    <w:p w:rsidR="000F7FAD" w:rsidRDefault="00BB4424">
      <w:pPr>
        <w:topLinePunct/>
        <w:autoSpaceDE w:val="0"/>
        <w:autoSpaceDN w:val="0"/>
        <w:snapToGrid w:val="0"/>
        <w:spacing w:line="600" w:lineRule="exact"/>
        <w:ind w:firstLineChars="200" w:firstLine="640"/>
        <w:rPr>
          <w:sz w:val="32"/>
          <w:szCs w:val="32"/>
        </w:rPr>
      </w:pPr>
      <w:r>
        <w:rPr>
          <w:rFonts w:ascii="楷体_GB2312" w:eastAsia="楷体_GB2312" w:hint="eastAsia"/>
          <w:sz w:val="32"/>
          <w:szCs w:val="32"/>
        </w:rPr>
        <w:t>完善工资决定和正常增长机制。</w:t>
      </w:r>
      <w:r>
        <w:rPr>
          <w:rFonts w:hint="eastAsia"/>
          <w:sz w:val="32"/>
          <w:szCs w:val="32"/>
        </w:rPr>
        <w:t>健全劳动、知识、技术、管理等要素按贡献决定报酬的机制，提高劳动报酬在初次分配中的比重。</w:t>
      </w:r>
      <w:r>
        <w:rPr>
          <w:rFonts w:hint="eastAsia"/>
          <w:sz w:val="32"/>
          <w:szCs w:val="32"/>
        </w:rPr>
        <w:t>完善最低工资保障制度，适时调整最低工资。完善工资指导线、企业薪酬调查发布体系，开展以先进制造业、战略新兴产业及现代服务业为重点的薪酬调查。深入推进国有企业负责人薪酬制度改革，规范国有企业工资内外监管。</w:t>
      </w:r>
    </w:p>
    <w:p w:rsidR="000F7FAD" w:rsidRDefault="00BB4424">
      <w:pPr>
        <w:topLinePunct/>
        <w:autoSpaceDE w:val="0"/>
        <w:autoSpaceDN w:val="0"/>
        <w:snapToGrid w:val="0"/>
        <w:spacing w:line="600" w:lineRule="exact"/>
        <w:ind w:firstLineChars="200" w:firstLine="640"/>
        <w:rPr>
          <w:sz w:val="32"/>
          <w:szCs w:val="32"/>
        </w:rPr>
      </w:pPr>
      <w:r>
        <w:rPr>
          <w:rFonts w:ascii="楷体_GB2312" w:eastAsia="楷体_GB2312" w:hint="eastAsia"/>
          <w:sz w:val="32"/>
          <w:szCs w:val="32"/>
        </w:rPr>
        <w:lastRenderedPageBreak/>
        <w:t>深化信访制度改革。</w:t>
      </w:r>
      <w:r>
        <w:rPr>
          <w:rFonts w:hint="eastAsia"/>
          <w:sz w:val="32"/>
          <w:szCs w:val="32"/>
        </w:rPr>
        <w:t>推进信访工作规范化、标准化建设，完善矛盾纠纷源头预防、排查预警、多元调解的信访工作机制。探索建立人社信访大数据库，加强信访形势分析研判，完善人社信访案件分类处理制度。联动门户网站、政民互动平台、</w:t>
      </w:r>
      <w:r>
        <w:rPr>
          <w:rFonts w:hint="eastAsia"/>
          <w:sz w:val="32"/>
          <w:szCs w:val="32"/>
        </w:rPr>
        <w:t>12345</w:t>
      </w:r>
      <w:r>
        <w:rPr>
          <w:rFonts w:hint="eastAsia"/>
          <w:sz w:val="32"/>
          <w:szCs w:val="32"/>
        </w:rPr>
        <w:t>政务服务平台，实现信访数据互联互通。深化领导干部带头化解信访案件制度，完善信访工作督查督</w:t>
      </w:r>
      <w:r>
        <w:rPr>
          <w:rFonts w:hint="eastAsia"/>
          <w:sz w:val="32"/>
          <w:szCs w:val="32"/>
        </w:rPr>
        <w:t>办、约谈问责制度。</w:t>
      </w:r>
    </w:p>
    <w:tbl>
      <w:tblPr>
        <w:tblW w:w="77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3"/>
      </w:tblGrid>
      <w:tr w:rsidR="000F7FAD">
        <w:trPr>
          <w:jc w:val="center"/>
        </w:trPr>
        <w:tc>
          <w:tcPr>
            <w:tcW w:w="7763" w:type="dxa"/>
            <w:vAlign w:val="center"/>
          </w:tcPr>
          <w:p w:rsidR="000F7FAD" w:rsidRDefault="00BB4424">
            <w:pPr>
              <w:adjustRightInd w:val="0"/>
              <w:snapToGrid w:val="0"/>
              <w:spacing w:line="480" w:lineRule="exact"/>
              <w:jc w:val="center"/>
              <w:rPr>
                <w:rFonts w:eastAsia="黑体"/>
                <w:szCs w:val="30"/>
              </w:rPr>
            </w:pPr>
            <w:r>
              <w:rPr>
                <w:rFonts w:eastAsia="黑体"/>
                <w:szCs w:val="30"/>
              </w:rPr>
              <w:t>专栏</w:t>
            </w:r>
            <w:r>
              <w:rPr>
                <w:rFonts w:eastAsia="黑体" w:hint="eastAsia"/>
                <w:szCs w:val="30"/>
              </w:rPr>
              <w:t>12</w:t>
            </w:r>
            <w:r>
              <w:rPr>
                <w:rFonts w:eastAsia="黑体"/>
                <w:szCs w:val="30"/>
              </w:rPr>
              <w:t xml:space="preserve">  </w:t>
            </w:r>
            <w:r>
              <w:rPr>
                <w:rFonts w:eastAsia="黑体" w:hint="eastAsia"/>
                <w:szCs w:val="30"/>
              </w:rPr>
              <w:t>规范劳务派遣市场秩序专项行动</w:t>
            </w:r>
          </w:p>
        </w:tc>
      </w:tr>
      <w:tr w:rsidR="000F7FAD">
        <w:trPr>
          <w:trHeight w:val="558"/>
          <w:jc w:val="center"/>
        </w:trPr>
        <w:tc>
          <w:tcPr>
            <w:tcW w:w="7763" w:type="dxa"/>
            <w:vAlign w:val="center"/>
          </w:tcPr>
          <w:p w:rsidR="000F7FAD" w:rsidRDefault="00BB4424">
            <w:pPr>
              <w:spacing w:line="400" w:lineRule="exact"/>
              <w:ind w:firstLineChars="200" w:firstLine="482"/>
              <w:rPr>
                <w:sz w:val="24"/>
              </w:rPr>
            </w:pPr>
            <w:r>
              <w:rPr>
                <w:b/>
                <w:sz w:val="24"/>
              </w:rPr>
              <w:t>1.</w:t>
            </w:r>
            <w:r>
              <w:rPr>
                <w:rFonts w:hint="eastAsia"/>
                <w:b/>
                <w:sz w:val="24"/>
              </w:rPr>
              <w:t>强化</w:t>
            </w:r>
            <w:r>
              <w:rPr>
                <w:b/>
                <w:sz w:val="24"/>
              </w:rPr>
              <w:t>劳务派遣源头治理。</w:t>
            </w:r>
            <w:r>
              <w:rPr>
                <w:snapToGrid w:val="0"/>
                <w:kern w:val="0"/>
                <w:sz w:val="24"/>
              </w:rPr>
              <w:t>推广使用统一范本的劳务派遣协议和劳务派遣员工劳动合同，明确权利义务关系。落实用工单位</w:t>
            </w:r>
            <w:r>
              <w:rPr>
                <w:rFonts w:hint="eastAsia"/>
                <w:snapToGrid w:val="0"/>
                <w:kern w:val="0"/>
                <w:sz w:val="24"/>
              </w:rPr>
              <w:t>主体责任，从严核查合同签订、</w:t>
            </w:r>
            <w:r>
              <w:rPr>
                <w:snapToGrid w:val="0"/>
                <w:kern w:val="0"/>
                <w:sz w:val="24"/>
              </w:rPr>
              <w:t>派遣员工身份信息、参保凭证等</w:t>
            </w:r>
            <w:r>
              <w:rPr>
                <w:rFonts w:hint="eastAsia"/>
                <w:snapToGrid w:val="0"/>
                <w:kern w:val="0"/>
                <w:sz w:val="24"/>
              </w:rPr>
              <w:t>。</w:t>
            </w:r>
            <w:r>
              <w:rPr>
                <w:snapToGrid w:val="0"/>
                <w:kern w:val="0"/>
                <w:sz w:val="24"/>
              </w:rPr>
              <w:t>用工单位、劳务派遣机构和劳务派遣员工三方应当在上岗前明确劳务派遣员工工作岗位及待遇标准等事项，签订</w:t>
            </w:r>
            <w:r>
              <w:rPr>
                <w:snapToGrid w:val="0"/>
                <w:kern w:val="0"/>
                <w:sz w:val="24"/>
              </w:rPr>
              <w:t>“</w:t>
            </w:r>
            <w:r>
              <w:rPr>
                <w:snapToGrid w:val="0"/>
                <w:kern w:val="0"/>
                <w:sz w:val="24"/>
              </w:rPr>
              <w:t>劳务派遣员工薪酬知情书</w:t>
            </w:r>
            <w:r>
              <w:rPr>
                <w:snapToGrid w:val="0"/>
                <w:kern w:val="0"/>
                <w:sz w:val="24"/>
              </w:rPr>
              <w:t>”</w:t>
            </w:r>
            <w:r>
              <w:rPr>
                <w:rFonts w:hint="eastAsia"/>
                <w:snapToGrid w:val="0"/>
                <w:kern w:val="0"/>
                <w:sz w:val="24"/>
              </w:rPr>
              <w:t>。</w:t>
            </w:r>
          </w:p>
          <w:p w:rsidR="000F7FAD" w:rsidRDefault="00BB4424">
            <w:pPr>
              <w:spacing w:line="400" w:lineRule="exact"/>
              <w:ind w:firstLineChars="200" w:firstLine="482"/>
              <w:rPr>
                <w:snapToGrid w:val="0"/>
                <w:kern w:val="0"/>
                <w:sz w:val="24"/>
              </w:rPr>
            </w:pPr>
            <w:r>
              <w:rPr>
                <w:b/>
                <w:sz w:val="24"/>
              </w:rPr>
              <w:t>2.</w:t>
            </w:r>
            <w:r>
              <w:rPr>
                <w:rFonts w:hint="eastAsia"/>
                <w:b/>
                <w:sz w:val="24"/>
              </w:rPr>
              <w:t>强化信用评价正向引导。</w:t>
            </w:r>
            <w:r>
              <w:rPr>
                <w:snapToGrid w:val="0"/>
                <w:kern w:val="0"/>
                <w:sz w:val="24"/>
              </w:rPr>
              <w:t>开展全市劳务派遣机构等级划分和评定</w:t>
            </w:r>
            <w:r>
              <w:rPr>
                <w:rFonts w:hint="eastAsia"/>
                <w:snapToGrid w:val="0"/>
                <w:kern w:val="0"/>
                <w:sz w:val="24"/>
              </w:rPr>
              <w:t>，</w:t>
            </w:r>
            <w:r>
              <w:rPr>
                <w:snapToGrid w:val="0"/>
                <w:kern w:val="0"/>
                <w:sz w:val="24"/>
              </w:rPr>
              <w:t>将评级较低机构列为重点监察对象，警示约谈负责人，向相关用工单位通报其信用等级并发放用工风险提示函。</w:t>
            </w:r>
            <w:r>
              <w:rPr>
                <w:snapToGrid w:val="0"/>
                <w:kern w:val="0"/>
                <w:sz w:val="24"/>
              </w:rPr>
              <w:t> </w:t>
            </w:r>
            <w:r>
              <w:rPr>
                <w:snapToGrid w:val="0"/>
                <w:kern w:val="0"/>
                <w:sz w:val="24"/>
              </w:rPr>
              <w:t>将不在原址经营、不按期提交年度经营报告的机构纳入经营异常名录，按季度对外公开。对拖欠工资拒不整改的机构按规定列入工资失信联合惩戒名单管理。</w:t>
            </w:r>
          </w:p>
          <w:p w:rsidR="000F7FAD" w:rsidRDefault="00BB4424">
            <w:pPr>
              <w:spacing w:line="400" w:lineRule="exact"/>
              <w:ind w:firstLineChars="196" w:firstLine="472"/>
              <w:rPr>
                <w:sz w:val="24"/>
              </w:rPr>
            </w:pPr>
            <w:r>
              <w:rPr>
                <w:b/>
                <w:sz w:val="24"/>
              </w:rPr>
              <w:t>3.</w:t>
            </w:r>
            <w:r>
              <w:rPr>
                <w:rFonts w:hint="eastAsia"/>
                <w:b/>
                <w:sz w:val="24"/>
              </w:rPr>
              <w:t>强化</w:t>
            </w:r>
            <w:r>
              <w:rPr>
                <w:b/>
                <w:sz w:val="24"/>
              </w:rPr>
              <w:t>劳务派遣供需对接。</w:t>
            </w:r>
            <w:r>
              <w:rPr>
                <w:sz w:val="24"/>
              </w:rPr>
              <w:t>开展劳务派遣管理员培训，</w:t>
            </w:r>
            <w:r>
              <w:rPr>
                <w:rFonts w:hint="eastAsia"/>
                <w:sz w:val="24"/>
              </w:rPr>
              <w:t>支持派遣机构组织派遣员工积极参加各类技能提升培训项目。</w:t>
            </w:r>
            <w:r>
              <w:rPr>
                <w:sz w:val="24"/>
              </w:rPr>
              <w:t>整顿劳务派遣机构擅自发布用工单位招聘信息、未依法签订劳务派遣协议</w:t>
            </w:r>
            <w:r>
              <w:rPr>
                <w:rFonts w:hint="eastAsia"/>
                <w:sz w:val="24"/>
              </w:rPr>
              <w:t>、</w:t>
            </w:r>
            <w:r>
              <w:rPr>
                <w:sz w:val="24"/>
              </w:rPr>
              <w:t>直接以用工单位名义招工、虚假宣传和发布不实广告等行为。畅通维权途径，快速处理劳务派遣用工劳资纠纷。</w:t>
            </w:r>
          </w:p>
          <w:p w:rsidR="000F7FAD" w:rsidRDefault="00BB4424">
            <w:pPr>
              <w:spacing w:line="400" w:lineRule="exact"/>
              <w:ind w:firstLineChars="196" w:firstLine="472"/>
              <w:rPr>
                <w:sz w:val="24"/>
              </w:rPr>
            </w:pPr>
            <w:r>
              <w:rPr>
                <w:b/>
                <w:sz w:val="24"/>
              </w:rPr>
              <w:t>4</w:t>
            </w:r>
            <w:r>
              <w:rPr>
                <w:b/>
                <w:sz w:val="24"/>
              </w:rPr>
              <w:t>.</w:t>
            </w:r>
            <w:r>
              <w:rPr>
                <w:rFonts w:hint="eastAsia"/>
                <w:b/>
                <w:sz w:val="24"/>
              </w:rPr>
              <w:t>强化劳务派遣行业自律</w:t>
            </w:r>
            <w:r>
              <w:rPr>
                <w:b/>
                <w:sz w:val="24"/>
              </w:rPr>
              <w:t>。</w:t>
            </w:r>
            <w:r>
              <w:rPr>
                <w:sz w:val="24"/>
              </w:rPr>
              <w:t>发挥劳务派遣相关行业协会作用，</w:t>
            </w:r>
            <w:r>
              <w:rPr>
                <w:rFonts w:hint="eastAsia"/>
                <w:sz w:val="24"/>
              </w:rPr>
              <w:t>依法制定完善行规行约。</w:t>
            </w:r>
            <w:r>
              <w:rPr>
                <w:sz w:val="24"/>
              </w:rPr>
              <w:t>实施劳务派遣诚信服务承诺书制度，引导劳务派遣机构自觉遵守国家相关价格政策，不哄抬、串通市场服务价格，规范服务收费，形成守法诚信经营、公开公平竞争、自觉维护秩序的行业</w:t>
            </w:r>
            <w:r>
              <w:rPr>
                <w:rFonts w:hint="eastAsia"/>
                <w:sz w:val="24"/>
              </w:rPr>
              <w:t>生态</w:t>
            </w:r>
            <w:r>
              <w:rPr>
                <w:sz w:val="24"/>
              </w:rPr>
              <w:t>。</w:t>
            </w:r>
          </w:p>
          <w:p w:rsidR="000F7FAD" w:rsidRDefault="00BB4424">
            <w:pPr>
              <w:spacing w:line="400" w:lineRule="exact"/>
              <w:ind w:firstLineChars="196" w:firstLine="472"/>
              <w:rPr>
                <w:sz w:val="24"/>
              </w:rPr>
            </w:pPr>
            <w:r>
              <w:rPr>
                <w:b/>
                <w:sz w:val="24"/>
              </w:rPr>
              <w:t>5.</w:t>
            </w:r>
            <w:r>
              <w:rPr>
                <w:rFonts w:hint="eastAsia"/>
                <w:b/>
                <w:sz w:val="24"/>
              </w:rPr>
              <w:t>强化违法违规行为惩治。</w:t>
            </w:r>
            <w:r>
              <w:rPr>
                <w:sz w:val="24"/>
              </w:rPr>
              <w:t>对于劳务派遣机构欠薪且拒不整改的，依法顶格处罚。强化人社、税务、公安、城市管理、市场监管等部门联动，</w:t>
            </w:r>
            <w:r>
              <w:rPr>
                <w:rFonts w:hint="eastAsia"/>
                <w:sz w:val="24"/>
              </w:rPr>
              <w:lastRenderedPageBreak/>
              <w:t>加强信息共享和联合执法，严厉打击</w:t>
            </w:r>
            <w:r>
              <w:rPr>
                <w:sz w:val="24"/>
              </w:rPr>
              <w:t>不依法参保、涉税违法、拖欠工资、占道经营、虚假宣传、用工单位获取</w:t>
            </w:r>
            <w:r>
              <w:rPr>
                <w:sz w:val="24"/>
              </w:rPr>
              <w:t>“</w:t>
            </w:r>
            <w:r>
              <w:rPr>
                <w:sz w:val="24"/>
              </w:rPr>
              <w:t>返费</w:t>
            </w:r>
            <w:r>
              <w:rPr>
                <w:sz w:val="24"/>
              </w:rPr>
              <w:t>”</w:t>
            </w:r>
            <w:r>
              <w:rPr>
                <w:sz w:val="24"/>
              </w:rPr>
              <w:t>涉嫌犯罪等</w:t>
            </w:r>
            <w:r>
              <w:rPr>
                <w:rFonts w:hint="eastAsia"/>
                <w:sz w:val="24"/>
              </w:rPr>
              <w:t>行为</w:t>
            </w:r>
            <w:r>
              <w:rPr>
                <w:sz w:val="24"/>
              </w:rPr>
              <w:t>。</w:t>
            </w:r>
          </w:p>
          <w:p w:rsidR="000F7FAD" w:rsidRDefault="00BB4424">
            <w:pPr>
              <w:spacing w:line="400" w:lineRule="exact"/>
              <w:ind w:firstLineChars="196" w:firstLine="472"/>
              <w:rPr>
                <w:sz w:val="24"/>
              </w:rPr>
            </w:pPr>
            <w:r>
              <w:rPr>
                <w:rFonts w:hint="eastAsia"/>
                <w:b/>
                <w:bCs/>
                <w:sz w:val="24"/>
              </w:rPr>
              <w:t>6.</w:t>
            </w:r>
            <w:r>
              <w:rPr>
                <w:rFonts w:hint="eastAsia"/>
                <w:b/>
                <w:bCs/>
                <w:sz w:val="24"/>
              </w:rPr>
              <w:t>强化派遣机构退出管理。</w:t>
            </w:r>
            <w:r>
              <w:rPr>
                <w:rFonts w:hint="eastAsia"/>
                <w:sz w:val="24"/>
              </w:rPr>
              <w:t>从严查处劳务派遣机构各项违法违规行为，</w:t>
            </w:r>
            <w:r>
              <w:rPr>
                <w:sz w:val="24"/>
              </w:rPr>
              <w:t>对于违法违规且拒不整改的劳务派遣机构，依法吊销劳务派遣经营许可证，坚决予以淘汰。</w:t>
            </w:r>
          </w:p>
        </w:tc>
      </w:tr>
    </w:tbl>
    <w:p w:rsidR="000F7FAD" w:rsidRDefault="00BB4424">
      <w:pPr>
        <w:pStyle w:val="20"/>
      </w:pPr>
      <w:bookmarkStart w:id="77" w:name="_Toc4728"/>
      <w:bookmarkStart w:id="78" w:name="_Toc1661"/>
      <w:r>
        <w:rPr>
          <w:rFonts w:hint="eastAsia"/>
        </w:rPr>
        <w:t>第二节</w:t>
      </w:r>
      <w:r>
        <w:rPr>
          <w:rFonts w:hint="eastAsia"/>
        </w:rPr>
        <w:t xml:space="preserve"> </w:t>
      </w:r>
      <w:r>
        <w:t xml:space="preserve"> </w:t>
      </w:r>
      <w:r>
        <w:rPr>
          <w:rFonts w:hint="eastAsia"/>
        </w:rPr>
        <w:t>加强劳动人事争议调解仲裁能力建设</w:t>
      </w:r>
      <w:bookmarkEnd w:id="77"/>
      <w:bookmarkEnd w:id="78"/>
    </w:p>
    <w:p w:rsidR="000F7FAD" w:rsidRDefault="00BB4424">
      <w:pPr>
        <w:topLinePunct/>
        <w:autoSpaceDE w:val="0"/>
        <w:autoSpaceDN w:val="0"/>
        <w:snapToGrid w:val="0"/>
        <w:spacing w:line="600" w:lineRule="exact"/>
        <w:ind w:firstLineChars="200" w:firstLine="640"/>
        <w:rPr>
          <w:sz w:val="32"/>
          <w:szCs w:val="32"/>
        </w:rPr>
      </w:pPr>
      <w:r>
        <w:rPr>
          <w:rFonts w:ascii="楷体_GB2312" w:eastAsia="楷体_GB2312" w:hAnsi="黑体" w:hint="eastAsia"/>
          <w:sz w:val="32"/>
          <w:szCs w:val="32"/>
        </w:rPr>
        <w:t>完善多元调解机制。</w:t>
      </w:r>
      <w:r>
        <w:rPr>
          <w:rFonts w:hint="eastAsia"/>
          <w:sz w:val="32"/>
          <w:szCs w:val="32"/>
        </w:rPr>
        <w:t>优化仲裁、监察、信访协调衔接机制，推进基层调解工作体系建设，加强“劳动争议调解中心”规范化建设，提升劳动争议调解质量和效率。加强与工会、法院、司法部门合作，推进人民调解、仲裁调解、司法调解衔接联动。完善市镇村三级调解机制，建立村（社区）调解组织对接机制。支持和推动企业自建调解组织，鼓励引导社会力量提供专业调解服务。</w:t>
      </w:r>
    </w:p>
    <w:p w:rsidR="000F7FAD" w:rsidRDefault="00BB4424">
      <w:pPr>
        <w:topLinePunct/>
        <w:autoSpaceDE w:val="0"/>
        <w:autoSpaceDN w:val="0"/>
        <w:snapToGrid w:val="0"/>
        <w:spacing w:line="600" w:lineRule="exact"/>
        <w:ind w:firstLineChars="200" w:firstLine="640"/>
        <w:rPr>
          <w:sz w:val="32"/>
          <w:szCs w:val="32"/>
        </w:rPr>
      </w:pPr>
      <w:r>
        <w:rPr>
          <w:rFonts w:ascii="楷体_GB2312" w:eastAsia="楷体_GB2312" w:hAnsi="黑体" w:hint="eastAsia"/>
          <w:sz w:val="32"/>
          <w:szCs w:val="32"/>
        </w:rPr>
        <w:t>创新仲裁办案模式。</w:t>
      </w:r>
      <w:r>
        <w:rPr>
          <w:rFonts w:hint="eastAsia"/>
          <w:sz w:val="32"/>
          <w:szCs w:val="32"/>
        </w:rPr>
        <w:t>优化网络仲裁、小程序办案流程，健全重大集体劳动争议案件快速处理程序，完善农民工工资争议调处“绿色通道”，打造高效快捷的仲裁新模式。加强仲裁标准化建设，建立仲裁办案管理和评价机制</w:t>
      </w:r>
      <w:r>
        <w:rPr>
          <w:rFonts w:hint="eastAsia"/>
          <w:sz w:val="32"/>
          <w:szCs w:val="32"/>
        </w:rPr>
        <w:t>，加强仲裁行风建设。完善要素式办案、兼职仲裁员办案和全市统筹办案制度，提升仲裁终结率及办案质量。完善园区、镇（街）示范庭制度，推进以案释法。</w:t>
      </w:r>
    </w:p>
    <w:p w:rsidR="000F7FAD" w:rsidRDefault="00BB4424">
      <w:pPr>
        <w:topLinePunct/>
        <w:autoSpaceDE w:val="0"/>
        <w:autoSpaceDN w:val="0"/>
        <w:snapToGrid w:val="0"/>
        <w:spacing w:line="600" w:lineRule="exact"/>
        <w:ind w:firstLineChars="200" w:firstLine="640"/>
        <w:rPr>
          <w:sz w:val="32"/>
          <w:szCs w:val="32"/>
        </w:rPr>
      </w:pPr>
      <w:r>
        <w:rPr>
          <w:rFonts w:ascii="楷体_GB2312" w:eastAsia="楷体_GB2312" w:hAnsi="黑体" w:hint="eastAsia"/>
          <w:sz w:val="32"/>
          <w:szCs w:val="32"/>
        </w:rPr>
        <w:t>加强劳动争议调裁审联动。</w:t>
      </w:r>
      <w:r>
        <w:rPr>
          <w:rFonts w:hint="eastAsia"/>
          <w:sz w:val="32"/>
          <w:szCs w:val="32"/>
        </w:rPr>
        <w:t>强化执法司法仲裁信用贯通衔</w:t>
      </w:r>
      <w:r>
        <w:rPr>
          <w:rFonts w:hint="eastAsia"/>
          <w:sz w:val="32"/>
          <w:szCs w:val="32"/>
        </w:rPr>
        <w:lastRenderedPageBreak/>
        <w:t>接，构建“工会</w:t>
      </w:r>
      <w:r>
        <w:rPr>
          <w:rFonts w:hint="eastAsia"/>
          <w:sz w:val="32"/>
          <w:szCs w:val="32"/>
        </w:rPr>
        <w:t>+</w:t>
      </w:r>
      <w:r>
        <w:rPr>
          <w:rFonts w:hint="eastAsia"/>
          <w:sz w:val="32"/>
          <w:szCs w:val="32"/>
        </w:rPr>
        <w:t>人社</w:t>
      </w:r>
      <w:r>
        <w:rPr>
          <w:rFonts w:hint="eastAsia"/>
          <w:sz w:val="32"/>
          <w:szCs w:val="32"/>
        </w:rPr>
        <w:t>+</w:t>
      </w:r>
      <w:r>
        <w:rPr>
          <w:rFonts w:hint="eastAsia"/>
          <w:sz w:val="32"/>
          <w:szCs w:val="32"/>
        </w:rPr>
        <w:t>法院</w:t>
      </w:r>
      <w:r>
        <w:rPr>
          <w:rFonts w:hint="eastAsia"/>
          <w:sz w:val="32"/>
          <w:szCs w:val="32"/>
        </w:rPr>
        <w:t>+</w:t>
      </w:r>
      <w:r>
        <w:rPr>
          <w:rFonts w:hint="eastAsia"/>
          <w:sz w:val="32"/>
          <w:szCs w:val="32"/>
        </w:rPr>
        <w:t>司法”调裁审一体化对接机制，联动快速有效化解劳动争议纠纷。联合法院建立裁审联合培训机制和案件双向反馈制度，实现裁审受理范围、裁审标准两个统一，推动裁审程序有效衔接。探索建立调处对接工作室，推动劳动争议“最多跑一次”“最多跑一地”。积极参与落实大湾区多元纠纷解决机制，探索集体争议协同处理、仲裁</w:t>
      </w:r>
      <w:r>
        <w:rPr>
          <w:rFonts w:hint="eastAsia"/>
          <w:sz w:val="32"/>
          <w:szCs w:val="32"/>
        </w:rPr>
        <w:t>资源信息共享，提高仲裁诉讼效能。</w:t>
      </w:r>
    </w:p>
    <w:p w:rsidR="000F7FAD" w:rsidRDefault="00BB4424">
      <w:pPr>
        <w:pStyle w:val="20"/>
      </w:pPr>
      <w:bookmarkStart w:id="79" w:name="_Toc15384"/>
      <w:bookmarkStart w:id="80" w:name="_Toc1733"/>
      <w:r>
        <w:rPr>
          <w:rFonts w:hint="eastAsia"/>
        </w:rPr>
        <w:t>第三节</w:t>
      </w:r>
      <w:r>
        <w:rPr>
          <w:rFonts w:hint="eastAsia"/>
        </w:rPr>
        <w:t xml:space="preserve"> </w:t>
      </w:r>
      <w:r>
        <w:t xml:space="preserve"> </w:t>
      </w:r>
      <w:r>
        <w:rPr>
          <w:rFonts w:hint="eastAsia"/>
        </w:rPr>
        <w:t>加强劳动保障监察治理能力建设</w:t>
      </w:r>
      <w:bookmarkEnd w:id="79"/>
      <w:bookmarkEnd w:id="80"/>
    </w:p>
    <w:p w:rsidR="000F7FAD" w:rsidRDefault="00BB4424">
      <w:pPr>
        <w:spacing w:line="560" w:lineRule="exact"/>
        <w:ind w:firstLineChars="200" w:firstLine="640"/>
        <w:rPr>
          <w:sz w:val="32"/>
          <w:szCs w:val="32"/>
        </w:rPr>
      </w:pPr>
      <w:r>
        <w:rPr>
          <w:rFonts w:ascii="楷体_GB2312" w:eastAsia="楷体_GB2312" w:hint="eastAsia"/>
          <w:sz w:val="32"/>
          <w:szCs w:val="32"/>
        </w:rPr>
        <w:t>强化欠薪治理工作。</w:t>
      </w:r>
      <w:r>
        <w:rPr>
          <w:rFonts w:hint="eastAsia"/>
          <w:sz w:val="32"/>
          <w:szCs w:val="32"/>
        </w:rPr>
        <w:t>贯彻落实《保障农民工工资支付条例》，常态化开展“</w:t>
      </w:r>
      <w:r>
        <w:rPr>
          <w:rFonts w:hint="eastAsia"/>
          <w:sz w:val="32"/>
          <w:szCs w:val="32"/>
        </w:rPr>
        <w:t>莞薪无忧</w:t>
      </w:r>
      <w:r>
        <w:rPr>
          <w:rFonts w:hint="eastAsia"/>
          <w:sz w:val="32"/>
          <w:szCs w:val="32"/>
        </w:rPr>
        <w:t>”</w:t>
      </w:r>
      <w:r>
        <w:rPr>
          <w:rFonts w:hint="eastAsia"/>
          <w:sz w:val="32"/>
          <w:szCs w:val="32"/>
        </w:rPr>
        <w:t>专项行动</w:t>
      </w:r>
      <w:r>
        <w:rPr>
          <w:rFonts w:hint="eastAsia"/>
          <w:sz w:val="32"/>
          <w:szCs w:val="32"/>
        </w:rPr>
        <w:t>，加强建筑领域欠薪治理，保障员工按时足额获得工资。落实根治拖欠农民工工资工作领导小组各项制度，提升欠薪治理能力。强化源头治理、前端防范，落实欠薪约谈、移送公安、社会公布、黑名单管理以及联合惩戒等手段，</w:t>
      </w:r>
      <w:r>
        <w:rPr>
          <w:sz w:val="32"/>
          <w:szCs w:val="32"/>
        </w:rPr>
        <w:t>使欠薪企业</w:t>
      </w:r>
      <w:r>
        <w:rPr>
          <w:sz w:val="32"/>
          <w:szCs w:val="32"/>
        </w:rPr>
        <w:t>“</w:t>
      </w:r>
      <w:r>
        <w:rPr>
          <w:sz w:val="32"/>
          <w:szCs w:val="32"/>
        </w:rPr>
        <w:t>一处违法、处处受限</w:t>
      </w:r>
      <w:r>
        <w:rPr>
          <w:sz w:val="32"/>
          <w:szCs w:val="32"/>
        </w:rPr>
        <w:t>”</w:t>
      </w:r>
      <w:r>
        <w:rPr>
          <w:sz w:val="32"/>
          <w:szCs w:val="32"/>
        </w:rPr>
        <w:t>。</w:t>
      </w:r>
      <w:r>
        <w:rPr>
          <w:rFonts w:hint="eastAsia"/>
          <w:sz w:val="32"/>
          <w:szCs w:val="32"/>
        </w:rPr>
        <w:t>健全督查督办机制，确保欠薪隐患</w:t>
      </w:r>
      <w:r>
        <w:rPr>
          <w:sz w:val="32"/>
          <w:szCs w:val="32"/>
        </w:rPr>
        <w:t>早发现早预警早处置</w:t>
      </w:r>
      <w:r>
        <w:rPr>
          <w:rFonts w:hint="eastAsia"/>
          <w:sz w:val="32"/>
          <w:szCs w:val="32"/>
        </w:rPr>
        <w:t>。</w:t>
      </w:r>
    </w:p>
    <w:p w:rsidR="000F7FAD" w:rsidRDefault="00BB4424">
      <w:pPr>
        <w:topLinePunct/>
        <w:autoSpaceDE w:val="0"/>
        <w:autoSpaceDN w:val="0"/>
        <w:snapToGrid w:val="0"/>
        <w:spacing w:line="600" w:lineRule="exact"/>
        <w:ind w:firstLineChars="200" w:firstLine="640"/>
        <w:rPr>
          <w:sz w:val="32"/>
          <w:szCs w:val="32"/>
        </w:rPr>
      </w:pPr>
      <w:r>
        <w:rPr>
          <w:rFonts w:ascii="楷体_GB2312" w:eastAsia="楷体_GB2312" w:hint="eastAsia"/>
          <w:sz w:val="32"/>
          <w:szCs w:val="32"/>
        </w:rPr>
        <w:t>提高监察治理效能。</w:t>
      </w:r>
      <w:r>
        <w:rPr>
          <w:rFonts w:hint="eastAsia"/>
          <w:sz w:val="32"/>
          <w:szCs w:val="32"/>
        </w:rPr>
        <w:t>推进劳动监察执法改革，加强和规范用工行为监</w:t>
      </w:r>
      <w:r>
        <w:rPr>
          <w:rFonts w:hint="eastAsia"/>
          <w:sz w:val="32"/>
          <w:szCs w:val="32"/>
        </w:rPr>
        <w:t>管，推行“综合查一次”，提高执法效能。定期开展工资支付、人力资源市场整顿、劳动用工和社会保险法律法规专项执法检查。落实行政执法“三项制度”和“双随机、一公开”监管机制，加大对非法用工查处力度。健全劳动保障诚信</w:t>
      </w:r>
      <w:r>
        <w:rPr>
          <w:rFonts w:hint="eastAsia"/>
          <w:sz w:val="32"/>
          <w:szCs w:val="32"/>
        </w:rPr>
        <w:lastRenderedPageBreak/>
        <w:t>等级评价制度，建立健全企业诚信档案。建立劳动保障监察队伍交流机制，加强基层执法人员岗位业务能力分级分类培训</w:t>
      </w:r>
      <w:r>
        <w:rPr>
          <w:rFonts w:hint="eastAsia"/>
          <w:sz w:val="32"/>
          <w:szCs w:val="32"/>
        </w:rPr>
        <w:t>，提高基层监察执法办案水平。</w:t>
      </w:r>
    </w:p>
    <w:tbl>
      <w:tblPr>
        <w:tblW w:w="77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3"/>
      </w:tblGrid>
      <w:tr w:rsidR="000F7FAD">
        <w:trPr>
          <w:jc w:val="center"/>
        </w:trPr>
        <w:tc>
          <w:tcPr>
            <w:tcW w:w="7763" w:type="dxa"/>
            <w:vAlign w:val="center"/>
          </w:tcPr>
          <w:p w:rsidR="000F7FAD" w:rsidRDefault="00BB4424">
            <w:pPr>
              <w:adjustRightInd w:val="0"/>
              <w:snapToGrid w:val="0"/>
              <w:spacing w:line="480" w:lineRule="exact"/>
              <w:jc w:val="center"/>
              <w:rPr>
                <w:rFonts w:eastAsia="黑体"/>
                <w:szCs w:val="30"/>
              </w:rPr>
            </w:pPr>
            <w:r>
              <w:rPr>
                <w:rFonts w:eastAsia="黑体"/>
                <w:szCs w:val="30"/>
              </w:rPr>
              <w:t>专栏</w:t>
            </w:r>
            <w:r>
              <w:rPr>
                <w:rFonts w:eastAsia="黑体" w:hint="eastAsia"/>
                <w:szCs w:val="30"/>
              </w:rPr>
              <w:t>13</w:t>
            </w:r>
            <w:r>
              <w:rPr>
                <w:rFonts w:eastAsia="黑体"/>
                <w:szCs w:val="30"/>
              </w:rPr>
              <w:t xml:space="preserve">  </w:t>
            </w:r>
            <w:r>
              <w:rPr>
                <w:rFonts w:eastAsia="黑体" w:hint="eastAsia"/>
                <w:szCs w:val="30"/>
              </w:rPr>
              <w:t>劳资纠纷预防化解和根治欠薪专项行动</w:t>
            </w:r>
          </w:p>
        </w:tc>
      </w:tr>
      <w:tr w:rsidR="000F7FAD">
        <w:trPr>
          <w:trHeight w:val="558"/>
          <w:jc w:val="center"/>
        </w:trPr>
        <w:tc>
          <w:tcPr>
            <w:tcW w:w="7763" w:type="dxa"/>
            <w:vAlign w:val="center"/>
          </w:tcPr>
          <w:p w:rsidR="000F7FAD" w:rsidRDefault="00BB4424">
            <w:pPr>
              <w:spacing w:line="400" w:lineRule="exact"/>
              <w:ind w:firstLineChars="196" w:firstLine="472"/>
              <w:rPr>
                <w:sz w:val="24"/>
              </w:rPr>
            </w:pPr>
            <w:r>
              <w:rPr>
                <w:b/>
                <w:bCs/>
                <w:sz w:val="24"/>
              </w:rPr>
              <w:t>1.</w:t>
            </w:r>
            <w:r>
              <w:rPr>
                <w:rFonts w:hint="eastAsia"/>
                <w:b/>
                <w:bCs/>
                <w:sz w:val="24"/>
              </w:rPr>
              <w:t>加快劳资纠纷线索处置。</w:t>
            </w:r>
            <w:r>
              <w:rPr>
                <w:rFonts w:hint="eastAsia"/>
                <w:sz w:val="24"/>
              </w:rPr>
              <w:t>加强欠薪隐患排查，发挥网格、村社区等功能，及时掌握制造业、工程建设领域等劳资纠纷情况。加强人民网领导信箱留言、</w:t>
            </w:r>
            <w:r>
              <w:rPr>
                <w:sz w:val="24"/>
              </w:rPr>
              <w:t>12345</w:t>
            </w:r>
            <w:r>
              <w:rPr>
                <w:rFonts w:hint="eastAsia"/>
                <w:sz w:val="24"/>
              </w:rPr>
              <w:t>热线等平台以及网络舆情线索的快速响应，严格落实首问责任制，确保在办理时限内办结。加大劳资纠纷线索的核查、督导、办理和回访，切实提升案件的办理质量。</w:t>
            </w:r>
          </w:p>
          <w:p w:rsidR="000F7FAD" w:rsidRDefault="00BB4424">
            <w:pPr>
              <w:spacing w:line="400" w:lineRule="exact"/>
              <w:ind w:firstLineChars="196" w:firstLine="472"/>
              <w:rPr>
                <w:sz w:val="24"/>
              </w:rPr>
            </w:pPr>
            <w:r>
              <w:rPr>
                <w:b/>
                <w:bCs/>
                <w:sz w:val="24"/>
              </w:rPr>
              <w:t>2.</w:t>
            </w:r>
            <w:r>
              <w:rPr>
                <w:rFonts w:hint="eastAsia"/>
                <w:b/>
                <w:bCs/>
                <w:sz w:val="24"/>
              </w:rPr>
              <w:t>加大调裁审对接力度。</w:t>
            </w:r>
            <w:r>
              <w:rPr>
                <w:rFonts w:hint="eastAsia"/>
                <w:sz w:val="24"/>
              </w:rPr>
              <w:t>畅通农民工工资争议案件劳动争议仲裁绿色通道，优先排期、优先开庭、优先审结，对</w:t>
            </w:r>
            <w:r>
              <w:rPr>
                <w:sz w:val="24"/>
              </w:rPr>
              <w:t>10</w:t>
            </w:r>
            <w:r>
              <w:rPr>
                <w:rFonts w:hint="eastAsia"/>
                <w:sz w:val="24"/>
              </w:rPr>
              <w:t>人以上的集体劳动报酬争议当天立案，开庭后</w:t>
            </w:r>
            <w:r>
              <w:rPr>
                <w:sz w:val="24"/>
              </w:rPr>
              <w:t>7</w:t>
            </w:r>
            <w:r>
              <w:rPr>
                <w:rFonts w:hint="eastAsia"/>
                <w:sz w:val="24"/>
              </w:rPr>
              <w:t>日内结案。大力推动</w:t>
            </w:r>
            <w:r>
              <w:rPr>
                <w:sz w:val="24"/>
              </w:rPr>
              <w:t>“</w:t>
            </w:r>
            <w:r>
              <w:rPr>
                <w:rFonts w:hint="eastAsia"/>
                <w:sz w:val="24"/>
              </w:rPr>
              <w:t>互联网</w:t>
            </w:r>
            <w:r>
              <w:rPr>
                <w:sz w:val="24"/>
              </w:rPr>
              <w:t>+</w:t>
            </w:r>
            <w:r>
              <w:rPr>
                <w:rFonts w:hint="eastAsia"/>
                <w:sz w:val="24"/>
              </w:rPr>
              <w:t>仲裁</w:t>
            </w:r>
            <w:r>
              <w:rPr>
                <w:sz w:val="24"/>
              </w:rPr>
              <w:t>”</w:t>
            </w:r>
            <w:r>
              <w:rPr>
                <w:rFonts w:hint="eastAsia"/>
                <w:sz w:val="24"/>
              </w:rPr>
              <w:t>，深化大湾区劳动争议仲裁调解区域合作。</w:t>
            </w:r>
          </w:p>
          <w:p w:rsidR="000F7FAD" w:rsidRDefault="00BB4424">
            <w:pPr>
              <w:spacing w:line="400" w:lineRule="exact"/>
              <w:ind w:firstLineChars="196" w:firstLine="472"/>
            </w:pPr>
            <w:r>
              <w:rPr>
                <w:b/>
                <w:bCs/>
                <w:sz w:val="24"/>
              </w:rPr>
              <w:t>3.</w:t>
            </w:r>
            <w:r>
              <w:rPr>
                <w:rFonts w:hint="eastAsia"/>
                <w:b/>
                <w:bCs/>
                <w:sz w:val="24"/>
              </w:rPr>
              <w:t>强化欠薪综合治理。</w:t>
            </w:r>
            <w:r>
              <w:rPr>
                <w:rFonts w:hint="eastAsia"/>
                <w:sz w:val="24"/>
              </w:rPr>
              <w:t>市</w:t>
            </w:r>
            <w:r>
              <w:rPr>
                <w:rFonts w:hint="eastAsia"/>
                <w:sz w:val="24"/>
              </w:rPr>
              <w:t>根治拖欠农民工工资工作领导小组牵头统筹，完善欠薪信息报送协同和情况通报，落实分片挂点督查。用好劳动关系风险预警系统，提高劳资风险预判的前瞻性。贯彻落实《保障农民工工资支付条例》，完善欠薪约谈、移送、社会公布、失信联合惩戒等各项制度机制，确保工资问题在基层一线得到妥善化解处置。</w:t>
            </w:r>
          </w:p>
        </w:tc>
      </w:tr>
    </w:tbl>
    <w:p w:rsidR="000F7FAD" w:rsidRDefault="00BB4424">
      <w:pPr>
        <w:pStyle w:val="1"/>
      </w:pPr>
      <w:bookmarkStart w:id="81" w:name="_Toc28801"/>
      <w:bookmarkStart w:id="82" w:name="_Toc19874"/>
      <w:r>
        <w:rPr>
          <w:rFonts w:hint="eastAsia"/>
        </w:rPr>
        <w:t>第十章</w:t>
      </w:r>
      <w:r>
        <w:rPr>
          <w:rFonts w:hint="eastAsia"/>
        </w:rPr>
        <w:t xml:space="preserve"> </w:t>
      </w:r>
      <w:r>
        <w:t xml:space="preserve"> </w:t>
      </w:r>
      <w:r>
        <w:rPr>
          <w:rFonts w:hint="eastAsia"/>
          <w:spacing w:val="-10"/>
        </w:rPr>
        <w:t>推动智慧人社建设</w:t>
      </w:r>
      <w:r>
        <w:rPr>
          <w:rFonts w:hint="eastAsia"/>
          <w:spacing w:val="-10"/>
        </w:rPr>
        <w:t xml:space="preserve"> </w:t>
      </w:r>
      <w:r>
        <w:rPr>
          <w:spacing w:val="-10"/>
        </w:rPr>
        <w:t xml:space="preserve"> </w:t>
      </w:r>
      <w:r>
        <w:rPr>
          <w:rFonts w:hint="eastAsia"/>
          <w:spacing w:val="-10"/>
        </w:rPr>
        <w:t>全方位提升公共服务质量</w:t>
      </w:r>
      <w:bookmarkEnd w:id="81"/>
      <w:bookmarkEnd w:id="82"/>
    </w:p>
    <w:p w:rsidR="000F7FAD" w:rsidRDefault="00BB4424">
      <w:pPr>
        <w:topLinePunct/>
        <w:autoSpaceDE w:val="0"/>
        <w:autoSpaceDN w:val="0"/>
        <w:snapToGrid w:val="0"/>
        <w:spacing w:line="600" w:lineRule="exact"/>
        <w:ind w:firstLineChars="200" w:firstLine="640"/>
        <w:rPr>
          <w:sz w:val="32"/>
          <w:szCs w:val="32"/>
        </w:rPr>
      </w:pPr>
      <w:r>
        <w:rPr>
          <w:rFonts w:hint="eastAsia"/>
          <w:sz w:val="32"/>
          <w:szCs w:val="32"/>
        </w:rPr>
        <w:t>大力推进人社公共服务均等化标准化信息化，加强系统行风建设，构建覆盖全名、城乡一体、均等可及、高效优质的公共服务体系。</w:t>
      </w:r>
    </w:p>
    <w:p w:rsidR="000F7FAD" w:rsidRDefault="00BB4424">
      <w:pPr>
        <w:pStyle w:val="20"/>
      </w:pPr>
      <w:bookmarkStart w:id="83" w:name="_Toc1209"/>
      <w:bookmarkStart w:id="84" w:name="_Toc17821"/>
      <w:r>
        <w:rPr>
          <w:rFonts w:hint="eastAsia"/>
        </w:rPr>
        <w:lastRenderedPageBreak/>
        <w:t>第一节</w:t>
      </w:r>
      <w:r>
        <w:rPr>
          <w:rFonts w:eastAsia="宋体" w:hint="eastAsia"/>
        </w:rPr>
        <w:t xml:space="preserve"> </w:t>
      </w:r>
      <w:r>
        <w:rPr>
          <w:rFonts w:hint="eastAsia"/>
        </w:rPr>
        <w:t xml:space="preserve"> </w:t>
      </w:r>
      <w:r>
        <w:rPr>
          <w:rFonts w:hint="eastAsia"/>
        </w:rPr>
        <w:t>提升便民服务效能</w:t>
      </w:r>
      <w:bookmarkEnd w:id="83"/>
      <w:bookmarkEnd w:id="84"/>
    </w:p>
    <w:p w:rsidR="000F7FAD" w:rsidRDefault="00BB4424">
      <w:pPr>
        <w:topLinePunct/>
        <w:autoSpaceDE w:val="0"/>
        <w:autoSpaceDN w:val="0"/>
        <w:snapToGrid w:val="0"/>
        <w:spacing w:line="600" w:lineRule="exact"/>
        <w:ind w:firstLineChars="200" w:firstLine="640"/>
        <w:rPr>
          <w:sz w:val="32"/>
          <w:szCs w:val="32"/>
        </w:rPr>
      </w:pPr>
      <w:r>
        <w:rPr>
          <w:rFonts w:ascii="楷体_GB2312" w:eastAsia="楷体_GB2312" w:hint="eastAsia"/>
          <w:sz w:val="32"/>
          <w:szCs w:val="32"/>
        </w:rPr>
        <w:t>持续简化服务流程。</w:t>
      </w:r>
      <w:r>
        <w:rPr>
          <w:rFonts w:hint="eastAsia"/>
          <w:sz w:val="32"/>
          <w:szCs w:val="32"/>
        </w:rPr>
        <w:t>建立“开门办实事、主动优服务”和</w:t>
      </w:r>
      <w:r>
        <w:rPr>
          <w:rFonts w:hint="eastAsia"/>
          <w:sz w:val="32"/>
          <w:szCs w:val="32"/>
        </w:rPr>
        <w:lastRenderedPageBreak/>
        <w:t>“走流程、转作风”的长效机制，及时解决群众急难愁盼问题。深入实施人社服务快办行动，开展“一件事”一次办专项改革，推动流程相近、材料相同、结果关联的事项整合成“一件事”。持续推进“减证便民”行动，推广证明事项告知承诺制，压缩办理时限，提高服务效能。</w:t>
      </w:r>
    </w:p>
    <w:p w:rsidR="000F7FAD" w:rsidRDefault="00BB4424">
      <w:pPr>
        <w:topLinePunct/>
        <w:autoSpaceDE w:val="0"/>
        <w:autoSpaceDN w:val="0"/>
        <w:snapToGrid w:val="0"/>
        <w:spacing w:line="600" w:lineRule="exact"/>
        <w:ind w:firstLineChars="200" w:firstLine="640"/>
        <w:rPr>
          <w:sz w:val="32"/>
          <w:szCs w:val="32"/>
        </w:rPr>
      </w:pPr>
      <w:r>
        <w:rPr>
          <w:rFonts w:ascii="楷体_GB2312" w:eastAsia="楷体_GB2312" w:hint="eastAsia"/>
          <w:sz w:val="32"/>
          <w:szCs w:val="32"/>
        </w:rPr>
        <w:t>持续创新服务机制。</w:t>
      </w:r>
      <w:r>
        <w:rPr>
          <w:rFonts w:hint="eastAsia"/>
          <w:sz w:val="32"/>
          <w:szCs w:val="32"/>
        </w:rPr>
        <w:t>推动数字人社建设，建立“人社政务电子地图”，实施系</w:t>
      </w:r>
      <w:r>
        <w:rPr>
          <w:rFonts w:hint="eastAsia"/>
          <w:sz w:val="32"/>
          <w:szCs w:val="32"/>
        </w:rPr>
        <w:t>统改造、数据比对、功能集成，推广“一门式”“一网式”服务。开展“放管服”疏堵行动，解决群众办事堵点痛点问题。推进审批事项“全程电子化”改造，推动事项审批流程向“秒批”优化。</w:t>
      </w:r>
    </w:p>
    <w:p w:rsidR="000F7FAD" w:rsidRDefault="00BB4424">
      <w:pPr>
        <w:pStyle w:val="20"/>
      </w:pPr>
      <w:bookmarkStart w:id="85" w:name="_Toc5578"/>
      <w:bookmarkStart w:id="86" w:name="_Toc19691"/>
      <w:r>
        <w:rPr>
          <w:rFonts w:hint="eastAsia"/>
        </w:rPr>
        <w:t>第二节</w:t>
      </w:r>
      <w:r>
        <w:rPr>
          <w:rFonts w:hint="eastAsia"/>
        </w:rPr>
        <w:t xml:space="preserve"> </w:t>
      </w:r>
      <w:r>
        <w:t xml:space="preserve"> </w:t>
      </w:r>
      <w:r>
        <w:rPr>
          <w:rFonts w:hint="eastAsia"/>
        </w:rPr>
        <w:t>提升智能服务效能</w:t>
      </w:r>
      <w:bookmarkEnd w:id="85"/>
      <w:bookmarkEnd w:id="86"/>
    </w:p>
    <w:p w:rsidR="000F7FAD" w:rsidRDefault="00BB4424">
      <w:pPr>
        <w:topLinePunct/>
        <w:autoSpaceDE w:val="0"/>
        <w:autoSpaceDN w:val="0"/>
        <w:snapToGrid w:val="0"/>
        <w:spacing w:line="600" w:lineRule="exact"/>
        <w:ind w:firstLineChars="200" w:firstLine="640"/>
        <w:rPr>
          <w:sz w:val="32"/>
          <w:szCs w:val="32"/>
        </w:rPr>
      </w:pPr>
      <w:r>
        <w:rPr>
          <w:rFonts w:ascii="楷体_GB2312" w:eastAsia="楷体_GB2312" w:hint="eastAsia"/>
          <w:sz w:val="32"/>
          <w:szCs w:val="32"/>
        </w:rPr>
        <w:t>提升人社大数据运用能力。</w:t>
      </w:r>
      <w:r>
        <w:rPr>
          <w:rFonts w:hint="eastAsia"/>
          <w:sz w:val="32"/>
          <w:szCs w:val="32"/>
        </w:rPr>
        <w:t>实施人社大数据应用行动计划，全面整合业务信息系统，规范数据采集、管理、应用，提升融合服务能力。制定大数据主题分析清单，加强部门数据交换，探索加强与三大电信运营商、第三方机构、行业协会等合作，定期形成分析研判报告。</w:t>
      </w:r>
      <w:r>
        <w:rPr>
          <w:rFonts w:hint="eastAsia"/>
          <w:sz w:val="32"/>
          <w:szCs w:val="32"/>
        </w:rPr>
        <w:t xml:space="preserve"> </w:t>
      </w:r>
    </w:p>
    <w:p w:rsidR="000F7FAD" w:rsidRDefault="00BB4424">
      <w:pPr>
        <w:topLinePunct/>
        <w:autoSpaceDE w:val="0"/>
        <w:autoSpaceDN w:val="0"/>
        <w:snapToGrid w:val="0"/>
        <w:spacing w:line="600" w:lineRule="exact"/>
        <w:ind w:firstLineChars="200" w:firstLine="640"/>
        <w:rPr>
          <w:sz w:val="32"/>
          <w:szCs w:val="32"/>
        </w:rPr>
      </w:pPr>
      <w:r>
        <w:rPr>
          <w:rFonts w:ascii="楷体_GB2312" w:eastAsia="楷体_GB2312" w:hint="eastAsia"/>
          <w:sz w:val="32"/>
          <w:szCs w:val="32"/>
        </w:rPr>
        <w:t>加强信息化集成服务平台建设。</w:t>
      </w:r>
      <w:r>
        <w:rPr>
          <w:rFonts w:hint="eastAsia"/>
          <w:sz w:val="32"/>
          <w:szCs w:val="32"/>
        </w:rPr>
        <w:t>支持省人社集中式一体化</w:t>
      </w:r>
      <w:r>
        <w:rPr>
          <w:rFonts w:hint="eastAsia"/>
          <w:sz w:val="32"/>
          <w:szCs w:val="32"/>
        </w:rPr>
        <w:lastRenderedPageBreak/>
        <w:t>信息系统建设，推动省</w:t>
      </w:r>
      <w:r>
        <w:rPr>
          <w:rFonts w:hint="eastAsia"/>
          <w:sz w:val="32"/>
          <w:szCs w:val="32"/>
        </w:rPr>
        <w:t>、市两级信息平台与业务深度融合。探索打造人社服务大数据应用示范项目，推动就业、培训、社保、人才等业务贯通。</w:t>
      </w:r>
    </w:p>
    <w:tbl>
      <w:tblPr>
        <w:tblW w:w="79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51"/>
      </w:tblGrid>
      <w:tr w:rsidR="000F7FAD">
        <w:trPr>
          <w:jc w:val="center"/>
        </w:trPr>
        <w:tc>
          <w:tcPr>
            <w:tcW w:w="7951" w:type="dxa"/>
            <w:tcBorders>
              <w:top w:val="single" w:sz="4" w:space="0" w:color="000000"/>
              <w:left w:val="single" w:sz="4" w:space="0" w:color="000000"/>
              <w:bottom w:val="single" w:sz="4" w:space="0" w:color="000000"/>
              <w:right w:val="single" w:sz="4" w:space="0" w:color="000000"/>
            </w:tcBorders>
            <w:vAlign w:val="center"/>
          </w:tcPr>
          <w:p w:rsidR="000F7FAD" w:rsidRDefault="00BB4424">
            <w:pPr>
              <w:adjustRightInd w:val="0"/>
              <w:snapToGrid w:val="0"/>
              <w:spacing w:line="480" w:lineRule="exact"/>
              <w:jc w:val="center"/>
            </w:pPr>
            <w:r>
              <w:rPr>
                <w:rFonts w:eastAsia="黑体"/>
              </w:rPr>
              <w:t>专栏</w:t>
            </w:r>
            <w:r>
              <w:rPr>
                <w:rFonts w:eastAsia="黑体" w:hint="eastAsia"/>
              </w:rPr>
              <w:t>14</w:t>
            </w:r>
            <w:r>
              <w:rPr>
                <w:rFonts w:eastAsia="黑体"/>
              </w:rPr>
              <w:t xml:space="preserve">  </w:t>
            </w:r>
            <w:r>
              <w:rPr>
                <w:rFonts w:eastAsia="黑体" w:hint="eastAsia"/>
              </w:rPr>
              <w:t>智慧人社建设行动</w:t>
            </w:r>
          </w:p>
        </w:tc>
      </w:tr>
      <w:tr w:rsidR="000F7FAD">
        <w:trPr>
          <w:trHeight w:val="1375"/>
          <w:jc w:val="center"/>
        </w:trPr>
        <w:tc>
          <w:tcPr>
            <w:tcW w:w="7951" w:type="dxa"/>
            <w:tcBorders>
              <w:top w:val="single" w:sz="4" w:space="0" w:color="000000"/>
              <w:left w:val="single" w:sz="4" w:space="0" w:color="000000"/>
              <w:bottom w:val="single" w:sz="4" w:space="0" w:color="000000"/>
              <w:right w:val="single" w:sz="4" w:space="0" w:color="000000"/>
            </w:tcBorders>
            <w:vAlign w:val="center"/>
          </w:tcPr>
          <w:p w:rsidR="000F7FAD" w:rsidRDefault="00BB4424">
            <w:pPr>
              <w:spacing w:line="400" w:lineRule="exact"/>
              <w:ind w:firstLineChars="200" w:firstLine="482"/>
              <w:rPr>
                <w:kern w:val="0"/>
                <w:sz w:val="24"/>
              </w:rPr>
            </w:pPr>
            <w:r>
              <w:rPr>
                <w:rFonts w:hint="eastAsia"/>
                <w:b/>
                <w:bCs/>
                <w:kern w:val="0"/>
                <w:sz w:val="24"/>
              </w:rPr>
              <w:t>1.</w:t>
            </w:r>
            <w:r>
              <w:rPr>
                <w:rFonts w:hint="eastAsia"/>
                <w:b/>
                <w:bCs/>
                <w:kern w:val="0"/>
                <w:sz w:val="24"/>
              </w:rPr>
              <w:t>人社服务快办行动。</w:t>
            </w:r>
            <w:r>
              <w:rPr>
                <w:rFonts w:hint="eastAsia"/>
                <w:kern w:val="0"/>
                <w:sz w:val="24"/>
              </w:rPr>
              <w:t>建立健全政策直通企业群众的工作机制，发挥村（社区）人力资源服务站作用，探索民生服务下沉、特殊群体上门服务等方式，打造城区步行</w:t>
            </w:r>
            <w:r>
              <w:rPr>
                <w:rFonts w:hint="eastAsia"/>
                <w:kern w:val="0"/>
                <w:sz w:val="24"/>
              </w:rPr>
              <w:t>15</w:t>
            </w:r>
            <w:r>
              <w:rPr>
                <w:rFonts w:hint="eastAsia"/>
                <w:kern w:val="0"/>
                <w:sz w:val="24"/>
              </w:rPr>
              <w:t>分钟、乡村辐射</w:t>
            </w:r>
            <w:r>
              <w:rPr>
                <w:rFonts w:hint="eastAsia"/>
                <w:kern w:val="0"/>
                <w:sz w:val="24"/>
              </w:rPr>
              <w:t>5</w:t>
            </w:r>
            <w:r>
              <w:rPr>
                <w:rFonts w:hint="eastAsia"/>
                <w:kern w:val="0"/>
                <w:sz w:val="24"/>
              </w:rPr>
              <w:t>公里的人社便民服务圈，提升市镇村三级工作协同效能。</w:t>
            </w:r>
          </w:p>
          <w:p w:rsidR="000F7FAD" w:rsidRDefault="00BB4424">
            <w:pPr>
              <w:spacing w:line="400" w:lineRule="exact"/>
              <w:ind w:firstLineChars="200" w:firstLine="482"/>
              <w:rPr>
                <w:kern w:val="0"/>
                <w:sz w:val="24"/>
              </w:rPr>
            </w:pPr>
            <w:r>
              <w:rPr>
                <w:rFonts w:hint="eastAsia"/>
                <w:b/>
                <w:bCs/>
                <w:kern w:val="0"/>
                <w:sz w:val="24"/>
              </w:rPr>
              <w:t>2.</w:t>
            </w:r>
            <w:r>
              <w:rPr>
                <w:rFonts w:hint="eastAsia"/>
                <w:b/>
                <w:bCs/>
                <w:kern w:val="0"/>
                <w:sz w:val="24"/>
              </w:rPr>
              <w:t>数字人社建设项目。</w:t>
            </w:r>
            <w:r>
              <w:rPr>
                <w:rFonts w:hint="eastAsia"/>
                <w:kern w:val="0"/>
                <w:sz w:val="24"/>
              </w:rPr>
              <w:t>加强人社数据治理，加强数据应用规划、加工、管理和监控，夯实业务“秒批”和“打包办”基础。整合</w:t>
            </w:r>
            <w:r>
              <w:rPr>
                <w:rFonts w:hint="eastAsia"/>
                <w:kern w:val="0"/>
                <w:sz w:val="24"/>
              </w:rPr>
              <w:t>10</w:t>
            </w:r>
            <w:r>
              <w:rPr>
                <w:rFonts w:hint="eastAsia"/>
                <w:kern w:val="0"/>
                <w:sz w:val="24"/>
              </w:rPr>
              <w:t>个“一件事”打包办，推动事项办理再提速，实现</w:t>
            </w:r>
            <w:r>
              <w:rPr>
                <w:rFonts w:hint="eastAsia"/>
                <w:kern w:val="0"/>
                <w:sz w:val="24"/>
              </w:rPr>
              <w:t>50%</w:t>
            </w:r>
            <w:r>
              <w:rPr>
                <w:rFonts w:hint="eastAsia"/>
                <w:kern w:val="0"/>
                <w:sz w:val="24"/>
              </w:rPr>
              <w:t>以上事项即时办结。打造“人社政务服务网点电子地图”，实行事项“全程电子化改造”。</w:t>
            </w:r>
          </w:p>
        </w:tc>
      </w:tr>
    </w:tbl>
    <w:p w:rsidR="000F7FAD" w:rsidRDefault="00BB4424">
      <w:pPr>
        <w:pStyle w:val="20"/>
      </w:pPr>
      <w:bookmarkStart w:id="87" w:name="_Toc10869"/>
      <w:bookmarkStart w:id="88" w:name="_Toc6731"/>
      <w:r>
        <w:rPr>
          <w:rFonts w:hint="eastAsia"/>
        </w:rPr>
        <w:t>第三节</w:t>
      </w:r>
      <w:r>
        <w:rPr>
          <w:rFonts w:hint="eastAsia"/>
        </w:rPr>
        <w:t xml:space="preserve"> </w:t>
      </w:r>
      <w:r>
        <w:t xml:space="preserve"> </w:t>
      </w:r>
      <w:r>
        <w:rPr>
          <w:rFonts w:hint="eastAsia"/>
        </w:rPr>
        <w:t>提升队伍建设效能</w:t>
      </w:r>
      <w:bookmarkEnd w:id="87"/>
      <w:bookmarkEnd w:id="88"/>
    </w:p>
    <w:p w:rsidR="000F7FAD" w:rsidRDefault="00BB4424">
      <w:pPr>
        <w:topLinePunct/>
        <w:autoSpaceDE w:val="0"/>
        <w:autoSpaceDN w:val="0"/>
        <w:snapToGrid w:val="0"/>
        <w:spacing w:line="600" w:lineRule="exact"/>
        <w:ind w:firstLineChars="200" w:firstLine="640"/>
        <w:rPr>
          <w:sz w:val="32"/>
          <w:szCs w:val="32"/>
        </w:rPr>
      </w:pPr>
      <w:r>
        <w:rPr>
          <w:rFonts w:ascii="楷体_GB2312" w:eastAsia="楷体_GB2312" w:hint="eastAsia"/>
          <w:sz w:val="32"/>
          <w:szCs w:val="32"/>
        </w:rPr>
        <w:t>加强服务队伍建设。</w:t>
      </w:r>
      <w:r>
        <w:rPr>
          <w:rFonts w:hint="eastAsia"/>
          <w:sz w:val="32"/>
          <w:szCs w:val="32"/>
        </w:rPr>
        <w:t>通过公开招聘、选调</w:t>
      </w:r>
      <w:r>
        <w:rPr>
          <w:rFonts w:hint="eastAsia"/>
          <w:sz w:val="32"/>
          <w:szCs w:val="32"/>
        </w:rPr>
        <w:t>、政府购买服务等方式，充实人社公共服务队伍，优化人员结构。建立上挂下派和交流轮岗机制，提升干事创业、应急处突等实践能力。加强基层经办队伍能力建设，常态化举办技能练兵比武活动，打造政治坚定、服务为民、严明务实、业务精湛的高素质队伍。</w:t>
      </w:r>
    </w:p>
    <w:p w:rsidR="000F7FAD" w:rsidRDefault="00BB4424">
      <w:pPr>
        <w:topLinePunct/>
        <w:autoSpaceDE w:val="0"/>
        <w:autoSpaceDN w:val="0"/>
        <w:snapToGrid w:val="0"/>
        <w:spacing w:line="600" w:lineRule="exact"/>
        <w:ind w:firstLineChars="200" w:firstLine="640"/>
        <w:rPr>
          <w:sz w:val="32"/>
          <w:szCs w:val="32"/>
        </w:rPr>
      </w:pPr>
      <w:r>
        <w:rPr>
          <w:rFonts w:ascii="楷体_GB2312" w:eastAsia="楷体_GB2312" w:hint="eastAsia"/>
          <w:sz w:val="32"/>
          <w:szCs w:val="32"/>
        </w:rPr>
        <w:t>加强系统行风建设。</w:t>
      </w:r>
      <w:r>
        <w:rPr>
          <w:rFonts w:hint="eastAsia"/>
          <w:sz w:val="32"/>
          <w:szCs w:val="32"/>
        </w:rPr>
        <w:t>推进人社系统全面从严治党和党风廉政建设，紧盯重点领域、薄弱环节，树立全流程、全链条监管理念，强化政策、法制、审计、财务、纪检监督等协同发力，构建综合监督工作闭环。</w:t>
      </w:r>
    </w:p>
    <w:p w:rsidR="000F7FAD" w:rsidRDefault="00BB4424">
      <w:pPr>
        <w:pStyle w:val="1"/>
      </w:pPr>
      <w:bookmarkStart w:id="89" w:name="_Toc13290"/>
      <w:bookmarkStart w:id="90" w:name="_Toc11738"/>
      <w:r>
        <w:rPr>
          <w:rFonts w:hint="eastAsia"/>
        </w:rPr>
        <w:lastRenderedPageBreak/>
        <w:t>第十一章</w:t>
      </w:r>
      <w:r>
        <w:rPr>
          <w:rFonts w:hint="eastAsia"/>
        </w:rPr>
        <w:t xml:space="preserve">  </w:t>
      </w:r>
      <w:r>
        <w:rPr>
          <w:rFonts w:hint="eastAsia"/>
        </w:rPr>
        <w:t>强化规划实施保障</w:t>
      </w:r>
      <w:bookmarkEnd w:id="89"/>
      <w:bookmarkEnd w:id="90"/>
    </w:p>
    <w:p w:rsidR="000F7FAD" w:rsidRDefault="00BB4424">
      <w:pPr>
        <w:topLinePunct/>
        <w:autoSpaceDE w:val="0"/>
        <w:autoSpaceDN w:val="0"/>
        <w:snapToGrid w:val="0"/>
        <w:spacing w:line="600" w:lineRule="exact"/>
        <w:ind w:firstLineChars="200" w:firstLine="640"/>
        <w:rPr>
          <w:sz w:val="32"/>
          <w:szCs w:val="32"/>
        </w:rPr>
      </w:pPr>
      <w:r>
        <w:rPr>
          <w:rFonts w:hint="eastAsia"/>
          <w:sz w:val="32"/>
          <w:szCs w:val="32"/>
        </w:rPr>
        <w:t>围绕“十四五”时期人力资源和社会保障事业高质量发展任务，强化基础保障，加强监测评估，确保各项目标任务落到实处。</w:t>
      </w:r>
    </w:p>
    <w:p w:rsidR="000F7FAD" w:rsidRDefault="00BB4424">
      <w:pPr>
        <w:pStyle w:val="20"/>
      </w:pPr>
      <w:bookmarkStart w:id="91" w:name="_Toc31744"/>
      <w:bookmarkStart w:id="92" w:name="_Toc30565"/>
      <w:r>
        <w:rPr>
          <w:rFonts w:hint="eastAsia"/>
        </w:rPr>
        <w:t>第一节</w:t>
      </w:r>
      <w:r>
        <w:rPr>
          <w:rFonts w:hint="eastAsia"/>
        </w:rPr>
        <w:t xml:space="preserve"> </w:t>
      </w:r>
      <w:r>
        <w:t xml:space="preserve"> </w:t>
      </w:r>
      <w:bookmarkEnd w:id="91"/>
      <w:r>
        <w:rPr>
          <w:rFonts w:hint="eastAsia"/>
        </w:rPr>
        <w:t>强化组织保障</w:t>
      </w:r>
      <w:bookmarkEnd w:id="92"/>
    </w:p>
    <w:p w:rsidR="000F7FAD" w:rsidRDefault="00BB4424">
      <w:pPr>
        <w:topLinePunct/>
        <w:autoSpaceDE w:val="0"/>
        <w:autoSpaceDN w:val="0"/>
        <w:snapToGrid w:val="0"/>
        <w:spacing w:line="600" w:lineRule="exact"/>
        <w:ind w:firstLineChars="200" w:firstLine="640"/>
        <w:rPr>
          <w:sz w:val="32"/>
          <w:szCs w:val="32"/>
        </w:rPr>
      </w:pPr>
      <w:r>
        <w:rPr>
          <w:rFonts w:hint="eastAsia"/>
          <w:sz w:val="32"/>
          <w:szCs w:val="32"/>
        </w:rPr>
        <w:t>扎实推进模范机关建设，推动党建业务文化“三融合”，全面提升“</w:t>
      </w:r>
      <w:r>
        <w:rPr>
          <w:sz w:val="32"/>
          <w:szCs w:val="32"/>
        </w:rPr>
        <w:t>开门办实事、主动优服务</w:t>
      </w:r>
      <w:r>
        <w:rPr>
          <w:rFonts w:hint="eastAsia"/>
          <w:sz w:val="32"/>
          <w:szCs w:val="32"/>
        </w:rPr>
        <w:t>”的能力。全面推进人社领域简政强镇事权改革，健全人社综合监督体系，健全分片服务、</w:t>
      </w:r>
      <w:r>
        <w:rPr>
          <w:rFonts w:hint="eastAsia"/>
          <w:snapToGrid w:val="0"/>
          <w:kern w:val="0"/>
          <w:sz w:val="32"/>
          <w:szCs w:val="32"/>
        </w:rPr>
        <w:t>督帮一体、及时响应、</w:t>
      </w:r>
      <w:r>
        <w:rPr>
          <w:rFonts w:hint="eastAsia"/>
          <w:sz w:val="32"/>
          <w:szCs w:val="32"/>
        </w:rPr>
        <w:t>执行有力的组织体系，提升末端执行力。完善“大学习、深调研、真落实”机制，激励广大干部新担当新作为，推动我市人力资源社会保障事业发展“十四五”规划实施。</w:t>
      </w:r>
    </w:p>
    <w:p w:rsidR="000F7FAD" w:rsidRDefault="00BB4424">
      <w:pPr>
        <w:pStyle w:val="20"/>
      </w:pPr>
      <w:bookmarkStart w:id="93" w:name="_Toc6095"/>
      <w:bookmarkStart w:id="94" w:name="_Toc22089"/>
      <w:r>
        <w:rPr>
          <w:rFonts w:hint="eastAsia"/>
        </w:rPr>
        <w:t>第二节</w:t>
      </w:r>
      <w:r>
        <w:rPr>
          <w:rFonts w:hint="eastAsia"/>
        </w:rPr>
        <w:t xml:space="preserve"> </w:t>
      </w:r>
      <w:r>
        <w:t xml:space="preserve"> </w:t>
      </w:r>
      <w:r>
        <w:rPr>
          <w:rFonts w:hint="eastAsia"/>
        </w:rPr>
        <w:t>强化政策支撑</w:t>
      </w:r>
      <w:bookmarkEnd w:id="93"/>
      <w:bookmarkEnd w:id="94"/>
    </w:p>
    <w:p w:rsidR="000F7FAD" w:rsidRDefault="00BB4424">
      <w:pPr>
        <w:topLinePunct/>
        <w:autoSpaceDE w:val="0"/>
        <w:autoSpaceDN w:val="0"/>
        <w:snapToGrid w:val="0"/>
        <w:spacing w:line="600" w:lineRule="exact"/>
        <w:ind w:firstLineChars="200" w:firstLine="640"/>
        <w:rPr>
          <w:sz w:val="32"/>
          <w:szCs w:val="32"/>
        </w:rPr>
      </w:pPr>
      <w:r>
        <w:rPr>
          <w:rFonts w:hint="eastAsia"/>
          <w:sz w:val="32"/>
          <w:szCs w:val="32"/>
        </w:rPr>
        <w:t>立足科技创新和先进</w:t>
      </w:r>
      <w:r>
        <w:rPr>
          <w:rFonts w:hint="eastAsia"/>
          <w:sz w:val="32"/>
          <w:szCs w:val="32"/>
        </w:rPr>
        <w:t>制</w:t>
      </w:r>
      <w:r>
        <w:rPr>
          <w:rFonts w:hint="eastAsia"/>
          <w:sz w:val="32"/>
          <w:szCs w:val="32"/>
        </w:rPr>
        <w:t>造的城市特色，加强人力资源社会保障重大政策研究，围绕建设大湾区人才集聚、和谐善治和民生幸福新高地的目标，加强人才引育留用、灵活就业、社会保障、欠薪治理、劳动关系</w:t>
      </w:r>
      <w:r>
        <w:rPr>
          <w:rFonts w:hint="eastAsia"/>
          <w:sz w:val="32"/>
          <w:szCs w:val="32"/>
        </w:rPr>
        <w:t>等重点领域、重大问题政策研究，强化成果应用转化，提高人力资源社会保障政策的精</w:t>
      </w:r>
      <w:r>
        <w:rPr>
          <w:rFonts w:hint="eastAsia"/>
          <w:sz w:val="32"/>
          <w:szCs w:val="32"/>
        </w:rPr>
        <w:lastRenderedPageBreak/>
        <w:t>准性、有效性、协同性。</w:t>
      </w:r>
    </w:p>
    <w:p w:rsidR="000F7FAD" w:rsidRDefault="00BB4424">
      <w:pPr>
        <w:pStyle w:val="20"/>
      </w:pPr>
      <w:bookmarkStart w:id="95" w:name="_Toc20478"/>
      <w:bookmarkStart w:id="96" w:name="_Toc25182"/>
      <w:r>
        <w:rPr>
          <w:rFonts w:hint="eastAsia"/>
        </w:rPr>
        <w:t>第三节</w:t>
      </w:r>
      <w:r>
        <w:rPr>
          <w:rFonts w:hint="eastAsia"/>
        </w:rPr>
        <w:t xml:space="preserve"> </w:t>
      </w:r>
      <w:r>
        <w:t xml:space="preserve"> </w:t>
      </w:r>
      <w:r>
        <w:rPr>
          <w:rFonts w:hint="eastAsia"/>
        </w:rPr>
        <w:t>加强资金保障</w:t>
      </w:r>
      <w:bookmarkEnd w:id="95"/>
      <w:bookmarkEnd w:id="96"/>
    </w:p>
    <w:p w:rsidR="000F7FAD" w:rsidRDefault="00BB4424">
      <w:pPr>
        <w:topLinePunct/>
        <w:autoSpaceDE w:val="0"/>
        <w:autoSpaceDN w:val="0"/>
        <w:snapToGrid w:val="0"/>
        <w:spacing w:line="600" w:lineRule="exact"/>
        <w:ind w:firstLineChars="200" w:firstLine="640"/>
        <w:rPr>
          <w:sz w:val="32"/>
          <w:szCs w:val="32"/>
        </w:rPr>
      </w:pPr>
      <w:r>
        <w:rPr>
          <w:rFonts w:hint="eastAsia"/>
          <w:sz w:val="32"/>
          <w:szCs w:val="32"/>
        </w:rPr>
        <w:t>建立政府、企业、社会多渠道筹资机制，加大对人力资源事业的服务管理和重点项目的经费保障力度。积极争取上级财政支持，稳步加大</w:t>
      </w:r>
      <w:r>
        <w:rPr>
          <w:rFonts w:hint="eastAsia"/>
          <w:sz w:val="32"/>
          <w:szCs w:val="32"/>
        </w:rPr>
        <w:t>我市各级</w:t>
      </w:r>
      <w:r>
        <w:rPr>
          <w:rFonts w:hint="eastAsia"/>
          <w:sz w:val="32"/>
          <w:szCs w:val="32"/>
        </w:rPr>
        <w:t>财政对人力资源社会保障事业</w:t>
      </w:r>
      <w:r>
        <w:rPr>
          <w:rFonts w:hint="eastAsia"/>
          <w:sz w:val="32"/>
          <w:szCs w:val="32"/>
        </w:rPr>
        <w:t>的</w:t>
      </w:r>
      <w:r>
        <w:rPr>
          <w:rFonts w:hint="eastAsia"/>
          <w:sz w:val="32"/>
          <w:szCs w:val="32"/>
        </w:rPr>
        <w:t>投入力度</w:t>
      </w:r>
      <w:r>
        <w:rPr>
          <w:rFonts w:hint="eastAsia"/>
          <w:sz w:val="32"/>
          <w:szCs w:val="32"/>
        </w:rPr>
        <w:t>。加强人力资源社会保障专项资金管理，提高专项资金使用绩效。</w:t>
      </w:r>
    </w:p>
    <w:p w:rsidR="000F7FAD" w:rsidRDefault="00BB4424">
      <w:pPr>
        <w:pStyle w:val="20"/>
      </w:pPr>
      <w:bookmarkStart w:id="97" w:name="_Toc10396"/>
      <w:bookmarkStart w:id="98" w:name="_Toc22140"/>
      <w:r>
        <w:rPr>
          <w:rFonts w:hint="eastAsia"/>
        </w:rPr>
        <w:t>第四节</w:t>
      </w:r>
      <w:r>
        <w:rPr>
          <w:rFonts w:hint="eastAsia"/>
        </w:rPr>
        <w:t xml:space="preserve"> </w:t>
      </w:r>
      <w:r>
        <w:t xml:space="preserve"> </w:t>
      </w:r>
      <w:r>
        <w:rPr>
          <w:rFonts w:hint="eastAsia"/>
        </w:rPr>
        <w:t>加强监测</w:t>
      </w:r>
      <w:bookmarkEnd w:id="97"/>
      <w:r>
        <w:rPr>
          <w:rFonts w:hint="eastAsia"/>
        </w:rPr>
        <w:t>评估</w:t>
      </w:r>
      <w:bookmarkEnd w:id="98"/>
    </w:p>
    <w:p w:rsidR="000F7FAD" w:rsidRDefault="00BB4424">
      <w:pPr>
        <w:topLinePunct/>
        <w:autoSpaceDE w:val="0"/>
        <w:autoSpaceDN w:val="0"/>
        <w:snapToGrid w:val="0"/>
        <w:spacing w:line="600" w:lineRule="exact"/>
        <w:ind w:firstLineChars="200" w:firstLine="640"/>
        <w:rPr>
          <w:sz w:val="32"/>
          <w:szCs w:val="32"/>
        </w:rPr>
      </w:pPr>
      <w:r>
        <w:rPr>
          <w:rFonts w:hint="eastAsia"/>
          <w:sz w:val="32"/>
          <w:szCs w:val="32"/>
        </w:rPr>
        <w:t>健全监测评估机制，强化规划重点指标的评估和监测分析，做好</w:t>
      </w:r>
      <w:r>
        <w:rPr>
          <w:sz w:val="32"/>
          <w:szCs w:val="32"/>
        </w:rPr>
        <w:t>中期评估和总结评估，</w:t>
      </w:r>
      <w:r>
        <w:rPr>
          <w:rFonts w:hint="eastAsia"/>
          <w:sz w:val="32"/>
          <w:szCs w:val="32"/>
        </w:rPr>
        <w:t>加强评估分析结果应用。提升统计信息化水平，完善统计数据常态化发布机制，加强数据解读和形势研判。加强指标分解，抓好项目实施。强化宣传解读</w:t>
      </w:r>
      <w:r>
        <w:rPr>
          <w:sz w:val="32"/>
          <w:szCs w:val="32"/>
        </w:rPr>
        <w:t>培训</w:t>
      </w:r>
      <w:r>
        <w:rPr>
          <w:rFonts w:hint="eastAsia"/>
          <w:sz w:val="32"/>
          <w:szCs w:val="32"/>
        </w:rPr>
        <w:t>，</w:t>
      </w:r>
      <w:r>
        <w:rPr>
          <w:sz w:val="32"/>
          <w:szCs w:val="32"/>
        </w:rPr>
        <w:t>为规划实施奠定基础、营造氛围。</w:t>
      </w:r>
      <w:r>
        <w:rPr>
          <w:rFonts w:hint="eastAsia"/>
          <w:sz w:val="32"/>
          <w:szCs w:val="32"/>
        </w:rPr>
        <w:t>建立定期通报和实地督导机制，确保重点工作落地见效。</w:t>
      </w:r>
    </w:p>
    <w:p w:rsidR="000F7FAD" w:rsidRDefault="000F7FAD">
      <w:pPr>
        <w:pStyle w:val="a6"/>
      </w:pPr>
    </w:p>
    <w:p w:rsidR="000F7FAD" w:rsidRDefault="00BB4424">
      <w:pPr>
        <w:topLinePunct/>
        <w:autoSpaceDE w:val="0"/>
        <w:autoSpaceDN w:val="0"/>
        <w:snapToGrid w:val="0"/>
        <w:spacing w:line="600" w:lineRule="exact"/>
        <w:ind w:firstLineChars="200" w:firstLine="640"/>
        <w:rPr>
          <w:sz w:val="32"/>
          <w:szCs w:val="32"/>
        </w:rPr>
      </w:pPr>
      <w:r>
        <w:rPr>
          <w:rFonts w:hint="eastAsia"/>
          <w:sz w:val="32"/>
          <w:szCs w:val="32"/>
        </w:rPr>
        <w:t>附件：各园区、镇（街）指标任务分解表</w:t>
      </w:r>
    </w:p>
    <w:p w:rsidR="000F7FAD" w:rsidRDefault="00BB4424">
      <w:pPr>
        <w:topLinePunct/>
        <w:autoSpaceDE w:val="0"/>
        <w:autoSpaceDN w:val="0"/>
        <w:snapToGrid w:val="0"/>
        <w:spacing w:line="600" w:lineRule="exact"/>
        <w:rPr>
          <w:rFonts w:ascii="黑体" w:eastAsia="黑体" w:hAnsi="黑体"/>
          <w:sz w:val="32"/>
          <w:szCs w:val="32"/>
        </w:rPr>
      </w:pPr>
      <w:r>
        <w:rPr>
          <w:sz w:val="32"/>
          <w:szCs w:val="32"/>
        </w:rPr>
        <w:br w:type="page"/>
      </w:r>
      <w:r>
        <w:rPr>
          <w:rFonts w:ascii="黑体" w:eastAsia="黑体" w:hAnsi="黑体" w:hint="eastAsia"/>
          <w:sz w:val="32"/>
          <w:szCs w:val="32"/>
        </w:rPr>
        <w:lastRenderedPageBreak/>
        <w:t>附件</w:t>
      </w:r>
    </w:p>
    <w:p w:rsidR="000F7FAD" w:rsidRDefault="00BB4424">
      <w:pPr>
        <w:spacing w:line="660" w:lineRule="exact"/>
        <w:jc w:val="center"/>
        <w:rPr>
          <w:rFonts w:ascii="方正小标宋简体" w:eastAsia="方正小标宋简体"/>
          <w:sz w:val="44"/>
          <w:szCs w:val="44"/>
        </w:rPr>
      </w:pPr>
      <w:r>
        <w:rPr>
          <w:rFonts w:ascii="方正小标宋简体" w:eastAsia="方正小标宋简体" w:hint="eastAsia"/>
          <w:sz w:val="44"/>
          <w:szCs w:val="44"/>
        </w:rPr>
        <w:t>各园区、镇（街）指标任务分解表</w:t>
      </w:r>
    </w:p>
    <w:tbl>
      <w:tblPr>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8"/>
        <w:gridCol w:w="1014"/>
        <w:gridCol w:w="1188"/>
        <w:gridCol w:w="1485"/>
        <w:gridCol w:w="1275"/>
        <w:gridCol w:w="1418"/>
        <w:gridCol w:w="1417"/>
        <w:gridCol w:w="1701"/>
      </w:tblGrid>
      <w:tr w:rsidR="000F7FAD">
        <w:trPr>
          <w:trHeight w:val="567"/>
          <w:jc w:val="center"/>
        </w:trPr>
        <w:tc>
          <w:tcPr>
            <w:tcW w:w="708" w:type="dxa"/>
            <w:vAlign w:val="center"/>
          </w:tcPr>
          <w:p w:rsidR="000F7FAD" w:rsidRDefault="00BB4424">
            <w:pPr>
              <w:spacing w:line="260" w:lineRule="exact"/>
              <w:jc w:val="center"/>
              <w:rPr>
                <w:rFonts w:eastAsia="黑体"/>
                <w:sz w:val="24"/>
              </w:rPr>
            </w:pPr>
            <w:r>
              <w:rPr>
                <w:rFonts w:eastAsia="黑体" w:hAnsi="黑体"/>
                <w:sz w:val="24"/>
              </w:rPr>
              <w:t>序号</w:t>
            </w:r>
          </w:p>
        </w:tc>
        <w:tc>
          <w:tcPr>
            <w:tcW w:w="1014" w:type="dxa"/>
            <w:vAlign w:val="center"/>
          </w:tcPr>
          <w:p w:rsidR="000F7FAD" w:rsidRDefault="00BB4424">
            <w:pPr>
              <w:spacing w:line="260" w:lineRule="exact"/>
              <w:jc w:val="center"/>
              <w:rPr>
                <w:rFonts w:eastAsia="黑体"/>
                <w:sz w:val="24"/>
              </w:rPr>
            </w:pPr>
            <w:r>
              <w:rPr>
                <w:rFonts w:eastAsia="黑体" w:hAnsi="黑体"/>
                <w:sz w:val="24"/>
              </w:rPr>
              <w:t>镇街</w:t>
            </w:r>
          </w:p>
        </w:tc>
        <w:tc>
          <w:tcPr>
            <w:tcW w:w="1188" w:type="dxa"/>
            <w:vAlign w:val="center"/>
          </w:tcPr>
          <w:p w:rsidR="000F7FAD" w:rsidRDefault="00BB4424">
            <w:pPr>
              <w:spacing w:line="260" w:lineRule="exact"/>
              <w:jc w:val="center"/>
              <w:rPr>
                <w:rFonts w:eastAsia="黑体"/>
                <w:sz w:val="24"/>
              </w:rPr>
            </w:pPr>
            <w:r>
              <w:rPr>
                <w:rFonts w:eastAsia="黑体" w:hAnsi="黑体"/>
                <w:sz w:val="24"/>
              </w:rPr>
              <w:t>社保卡（张）</w:t>
            </w:r>
          </w:p>
        </w:tc>
        <w:tc>
          <w:tcPr>
            <w:tcW w:w="1485" w:type="dxa"/>
            <w:vAlign w:val="center"/>
          </w:tcPr>
          <w:p w:rsidR="000F7FAD" w:rsidRDefault="00BB4424">
            <w:pPr>
              <w:spacing w:line="260" w:lineRule="exact"/>
              <w:jc w:val="center"/>
              <w:rPr>
                <w:rFonts w:eastAsia="黑体"/>
                <w:sz w:val="24"/>
              </w:rPr>
            </w:pPr>
            <w:r>
              <w:rPr>
                <w:rFonts w:eastAsia="黑体" w:hAnsi="黑体"/>
                <w:sz w:val="24"/>
              </w:rPr>
              <w:t>粤菜师傅培训发证人数（人</w:t>
            </w:r>
            <w:r>
              <w:rPr>
                <w:rFonts w:eastAsia="黑体" w:hAnsi="黑体" w:hint="eastAsia"/>
                <w:sz w:val="24"/>
              </w:rPr>
              <w:t>次</w:t>
            </w:r>
            <w:r>
              <w:rPr>
                <w:rFonts w:eastAsia="黑体" w:hAnsi="黑体"/>
                <w:sz w:val="24"/>
              </w:rPr>
              <w:t>）</w:t>
            </w:r>
          </w:p>
        </w:tc>
        <w:tc>
          <w:tcPr>
            <w:tcW w:w="1275" w:type="dxa"/>
            <w:vAlign w:val="center"/>
          </w:tcPr>
          <w:p w:rsidR="000F7FAD" w:rsidRDefault="00BB4424">
            <w:pPr>
              <w:spacing w:line="260" w:lineRule="exact"/>
              <w:jc w:val="center"/>
              <w:rPr>
                <w:rFonts w:eastAsia="黑体"/>
                <w:sz w:val="24"/>
              </w:rPr>
            </w:pPr>
            <w:r>
              <w:rPr>
                <w:rFonts w:eastAsia="黑体" w:hAnsi="黑体"/>
                <w:sz w:val="24"/>
              </w:rPr>
              <w:t>南粤家政培训人数（人</w:t>
            </w:r>
            <w:r>
              <w:rPr>
                <w:rFonts w:eastAsia="黑体" w:hAnsi="黑体" w:hint="eastAsia"/>
                <w:sz w:val="24"/>
              </w:rPr>
              <w:t>次</w:t>
            </w:r>
            <w:r>
              <w:rPr>
                <w:rFonts w:eastAsia="黑体" w:hAnsi="黑体"/>
                <w:sz w:val="24"/>
              </w:rPr>
              <w:t>）</w:t>
            </w:r>
          </w:p>
        </w:tc>
        <w:tc>
          <w:tcPr>
            <w:tcW w:w="1418" w:type="dxa"/>
            <w:vAlign w:val="center"/>
          </w:tcPr>
          <w:p w:rsidR="000F7FAD" w:rsidRDefault="00BB4424">
            <w:pPr>
              <w:spacing w:line="260" w:lineRule="exact"/>
              <w:jc w:val="center"/>
              <w:rPr>
                <w:rFonts w:eastAsia="黑体"/>
                <w:sz w:val="24"/>
              </w:rPr>
            </w:pPr>
            <w:r>
              <w:rPr>
                <w:rFonts w:eastAsia="黑体" w:hAnsi="黑体"/>
                <w:sz w:val="24"/>
              </w:rPr>
              <w:t>劳动人事争议调解成功率（</w:t>
            </w:r>
            <w:r>
              <w:rPr>
                <w:rFonts w:eastAsia="黑体"/>
                <w:sz w:val="24"/>
              </w:rPr>
              <w:t>%</w:t>
            </w:r>
            <w:r>
              <w:rPr>
                <w:rFonts w:eastAsia="黑体" w:hAnsi="黑体"/>
                <w:sz w:val="24"/>
              </w:rPr>
              <w:t>）</w:t>
            </w:r>
          </w:p>
        </w:tc>
        <w:tc>
          <w:tcPr>
            <w:tcW w:w="1417" w:type="dxa"/>
            <w:vAlign w:val="center"/>
          </w:tcPr>
          <w:p w:rsidR="000F7FAD" w:rsidRDefault="00BB4424">
            <w:pPr>
              <w:spacing w:line="260" w:lineRule="exact"/>
              <w:jc w:val="center"/>
              <w:rPr>
                <w:rFonts w:eastAsia="黑体"/>
                <w:sz w:val="24"/>
              </w:rPr>
            </w:pPr>
            <w:r>
              <w:rPr>
                <w:rFonts w:eastAsia="黑体" w:hAnsi="黑体"/>
                <w:sz w:val="24"/>
              </w:rPr>
              <w:t>劳动人事争议仲裁结案率（</w:t>
            </w:r>
            <w:r>
              <w:rPr>
                <w:rFonts w:eastAsia="黑体"/>
                <w:sz w:val="24"/>
              </w:rPr>
              <w:t>%</w:t>
            </w:r>
            <w:r>
              <w:rPr>
                <w:rFonts w:eastAsia="黑体" w:hAnsi="黑体"/>
                <w:sz w:val="24"/>
              </w:rPr>
              <w:t>）</w:t>
            </w:r>
          </w:p>
        </w:tc>
        <w:tc>
          <w:tcPr>
            <w:tcW w:w="1701" w:type="dxa"/>
            <w:vAlign w:val="center"/>
          </w:tcPr>
          <w:p w:rsidR="000F7FAD" w:rsidRDefault="00BB4424">
            <w:pPr>
              <w:spacing w:line="260" w:lineRule="exact"/>
              <w:jc w:val="center"/>
              <w:rPr>
                <w:rFonts w:eastAsia="黑体"/>
                <w:sz w:val="24"/>
              </w:rPr>
            </w:pPr>
            <w:r>
              <w:rPr>
                <w:rFonts w:eastAsia="黑体" w:hAnsi="黑体"/>
                <w:sz w:val="24"/>
              </w:rPr>
              <w:t>劳动保障监察举报投诉案件结案率（</w:t>
            </w:r>
            <w:r>
              <w:rPr>
                <w:rFonts w:eastAsia="黑体"/>
                <w:sz w:val="24"/>
              </w:rPr>
              <w:t>%</w:t>
            </w:r>
            <w:r>
              <w:rPr>
                <w:rFonts w:eastAsia="黑体" w:hAnsi="黑体"/>
                <w:sz w:val="24"/>
              </w:rPr>
              <w:t>）</w:t>
            </w:r>
          </w:p>
        </w:tc>
      </w:tr>
      <w:tr w:rsidR="000F7FAD">
        <w:trPr>
          <w:trHeight w:val="249"/>
          <w:jc w:val="center"/>
        </w:trPr>
        <w:tc>
          <w:tcPr>
            <w:tcW w:w="708" w:type="dxa"/>
            <w:vAlign w:val="center"/>
          </w:tcPr>
          <w:p w:rsidR="000F7FAD" w:rsidRDefault="00BB4424">
            <w:pPr>
              <w:spacing w:line="300" w:lineRule="exact"/>
              <w:jc w:val="center"/>
              <w:rPr>
                <w:rFonts w:ascii="仿宋_GB2312" w:hAnsi="黑体"/>
                <w:b/>
                <w:sz w:val="24"/>
              </w:rPr>
            </w:pPr>
            <w:r>
              <w:rPr>
                <w:rFonts w:ascii="仿宋_GB2312" w:hAnsi="黑体" w:hint="eastAsia"/>
                <w:b/>
                <w:sz w:val="24"/>
              </w:rPr>
              <w:t>合计</w:t>
            </w:r>
          </w:p>
        </w:tc>
        <w:tc>
          <w:tcPr>
            <w:tcW w:w="1014" w:type="dxa"/>
            <w:vAlign w:val="center"/>
          </w:tcPr>
          <w:p w:rsidR="000F7FAD" w:rsidRDefault="00BB4424">
            <w:pPr>
              <w:spacing w:line="300" w:lineRule="exact"/>
              <w:jc w:val="center"/>
              <w:rPr>
                <w:rFonts w:ascii="仿宋_GB2312"/>
                <w:b/>
                <w:bCs/>
                <w:sz w:val="24"/>
              </w:rPr>
            </w:pPr>
            <w:r>
              <w:rPr>
                <w:rFonts w:ascii="仿宋_GB2312" w:hAnsi="黑体" w:hint="eastAsia"/>
                <w:b/>
                <w:bCs/>
                <w:sz w:val="24"/>
              </w:rPr>
              <w:t>全市</w:t>
            </w:r>
          </w:p>
        </w:tc>
        <w:tc>
          <w:tcPr>
            <w:tcW w:w="1188" w:type="dxa"/>
            <w:vAlign w:val="center"/>
          </w:tcPr>
          <w:p w:rsidR="000F7FAD" w:rsidRDefault="00BB4424">
            <w:pPr>
              <w:spacing w:line="300" w:lineRule="exact"/>
              <w:jc w:val="center"/>
              <w:rPr>
                <w:rFonts w:ascii="宋体" w:eastAsia="宋体" w:hAnsi="宋体" w:cs="宋体"/>
                <w:b/>
                <w:bCs/>
                <w:sz w:val="24"/>
              </w:rPr>
            </w:pPr>
            <w:r>
              <w:rPr>
                <w:rFonts w:hint="eastAsia"/>
                <w:b/>
                <w:bCs/>
                <w:sz w:val="24"/>
              </w:rPr>
              <w:t>10257293</w:t>
            </w:r>
          </w:p>
        </w:tc>
        <w:tc>
          <w:tcPr>
            <w:tcW w:w="1485" w:type="dxa"/>
            <w:vAlign w:val="center"/>
          </w:tcPr>
          <w:p w:rsidR="000F7FAD" w:rsidRDefault="00BB4424">
            <w:pPr>
              <w:spacing w:line="300" w:lineRule="exact"/>
              <w:jc w:val="center"/>
              <w:rPr>
                <w:b/>
                <w:bCs/>
                <w:sz w:val="24"/>
              </w:rPr>
            </w:pPr>
            <w:r>
              <w:rPr>
                <w:rFonts w:hint="eastAsia"/>
                <w:b/>
                <w:bCs/>
                <w:sz w:val="24"/>
              </w:rPr>
              <w:t>70</w:t>
            </w:r>
            <w:r>
              <w:rPr>
                <w:b/>
                <w:bCs/>
                <w:sz w:val="24"/>
              </w:rPr>
              <w:t>00</w:t>
            </w:r>
          </w:p>
        </w:tc>
        <w:tc>
          <w:tcPr>
            <w:tcW w:w="1275" w:type="dxa"/>
            <w:vAlign w:val="center"/>
          </w:tcPr>
          <w:p w:rsidR="000F7FAD" w:rsidRDefault="00BB4424">
            <w:pPr>
              <w:spacing w:line="300" w:lineRule="exact"/>
              <w:jc w:val="center"/>
              <w:rPr>
                <w:b/>
                <w:bCs/>
                <w:sz w:val="24"/>
              </w:rPr>
            </w:pPr>
            <w:r>
              <w:rPr>
                <w:b/>
                <w:bCs/>
                <w:sz w:val="24"/>
              </w:rPr>
              <w:t>5</w:t>
            </w:r>
            <w:r>
              <w:rPr>
                <w:rFonts w:hint="eastAsia"/>
                <w:b/>
                <w:bCs/>
                <w:sz w:val="24"/>
              </w:rPr>
              <w:t>9</w:t>
            </w:r>
            <w:r>
              <w:rPr>
                <w:b/>
                <w:bCs/>
                <w:sz w:val="24"/>
              </w:rPr>
              <w:t>000</w:t>
            </w:r>
          </w:p>
        </w:tc>
        <w:tc>
          <w:tcPr>
            <w:tcW w:w="1418" w:type="dxa"/>
            <w:vAlign w:val="center"/>
          </w:tcPr>
          <w:p w:rsidR="000F7FAD" w:rsidRDefault="00BB4424">
            <w:pPr>
              <w:spacing w:line="300" w:lineRule="exact"/>
              <w:jc w:val="center"/>
              <w:rPr>
                <w:b/>
                <w:bCs/>
                <w:sz w:val="24"/>
              </w:rPr>
            </w:pPr>
            <w:r>
              <w:rPr>
                <w:rFonts w:hint="eastAsia"/>
                <w:b/>
                <w:bCs/>
                <w:sz w:val="24"/>
              </w:rPr>
              <w:t>&gt;</w:t>
            </w:r>
            <w:r>
              <w:rPr>
                <w:b/>
                <w:bCs/>
                <w:sz w:val="24"/>
              </w:rPr>
              <w:t>7</w:t>
            </w:r>
            <w:r>
              <w:rPr>
                <w:rFonts w:hint="eastAsia"/>
                <w:b/>
                <w:bCs/>
                <w:sz w:val="24"/>
              </w:rPr>
              <w:t>8</w:t>
            </w:r>
            <w:r>
              <w:rPr>
                <w:b/>
                <w:bCs/>
                <w:sz w:val="24"/>
              </w:rPr>
              <w:t>%</w:t>
            </w:r>
          </w:p>
        </w:tc>
        <w:tc>
          <w:tcPr>
            <w:tcW w:w="1417" w:type="dxa"/>
            <w:vAlign w:val="center"/>
          </w:tcPr>
          <w:p w:rsidR="000F7FAD" w:rsidRDefault="00BB4424">
            <w:pPr>
              <w:spacing w:line="300" w:lineRule="exact"/>
              <w:jc w:val="center"/>
              <w:rPr>
                <w:b/>
                <w:bCs/>
                <w:sz w:val="24"/>
              </w:rPr>
            </w:pPr>
            <w:r>
              <w:rPr>
                <w:rFonts w:hint="eastAsia"/>
                <w:b/>
                <w:bCs/>
                <w:sz w:val="24"/>
              </w:rPr>
              <w:t>&gt;</w:t>
            </w:r>
            <w:r>
              <w:rPr>
                <w:b/>
                <w:bCs/>
                <w:sz w:val="24"/>
              </w:rPr>
              <w:t>9</w:t>
            </w:r>
            <w:r>
              <w:rPr>
                <w:rFonts w:hint="eastAsia"/>
                <w:b/>
                <w:bCs/>
                <w:sz w:val="24"/>
              </w:rPr>
              <w:t>6</w:t>
            </w:r>
            <w:r>
              <w:rPr>
                <w:b/>
                <w:bCs/>
                <w:sz w:val="24"/>
              </w:rPr>
              <w:t>%</w:t>
            </w:r>
          </w:p>
        </w:tc>
        <w:tc>
          <w:tcPr>
            <w:tcW w:w="1701" w:type="dxa"/>
            <w:vAlign w:val="center"/>
          </w:tcPr>
          <w:p w:rsidR="000F7FAD" w:rsidRDefault="00BB4424">
            <w:pPr>
              <w:spacing w:line="300" w:lineRule="exact"/>
              <w:jc w:val="center"/>
              <w:rPr>
                <w:b/>
                <w:bCs/>
                <w:sz w:val="24"/>
              </w:rPr>
            </w:pPr>
            <w:r>
              <w:rPr>
                <w:rFonts w:hint="eastAsia"/>
                <w:b/>
                <w:bCs/>
                <w:sz w:val="24"/>
              </w:rPr>
              <w:t>100</w:t>
            </w:r>
            <w:r>
              <w:rPr>
                <w:b/>
                <w:bCs/>
                <w:sz w:val="24"/>
              </w:rPr>
              <w:t>%</w:t>
            </w:r>
          </w:p>
        </w:tc>
      </w:tr>
      <w:tr w:rsidR="000F7FAD">
        <w:trPr>
          <w:trHeight w:val="291"/>
          <w:jc w:val="center"/>
        </w:trPr>
        <w:tc>
          <w:tcPr>
            <w:tcW w:w="708" w:type="dxa"/>
            <w:vAlign w:val="center"/>
          </w:tcPr>
          <w:p w:rsidR="000F7FAD" w:rsidRDefault="00BB4424">
            <w:pPr>
              <w:spacing w:line="300" w:lineRule="exact"/>
              <w:jc w:val="center"/>
              <w:rPr>
                <w:rFonts w:eastAsia="黑体"/>
                <w:sz w:val="24"/>
              </w:rPr>
            </w:pPr>
            <w:r>
              <w:rPr>
                <w:rFonts w:eastAsia="黑体"/>
                <w:sz w:val="24"/>
              </w:rPr>
              <w:t>1</w:t>
            </w:r>
          </w:p>
        </w:tc>
        <w:tc>
          <w:tcPr>
            <w:tcW w:w="1014" w:type="dxa"/>
            <w:vAlign w:val="center"/>
          </w:tcPr>
          <w:p w:rsidR="000F7FAD" w:rsidRDefault="00BB4424">
            <w:pPr>
              <w:spacing w:line="300" w:lineRule="exact"/>
              <w:jc w:val="center"/>
              <w:rPr>
                <w:rFonts w:ascii="仿宋_GB2312"/>
                <w:sz w:val="24"/>
              </w:rPr>
            </w:pPr>
            <w:r>
              <w:rPr>
                <w:rFonts w:ascii="仿宋_GB2312" w:hAnsi="黑体" w:hint="eastAsia"/>
                <w:sz w:val="24"/>
              </w:rPr>
              <w:t>莞城</w:t>
            </w:r>
          </w:p>
        </w:tc>
        <w:tc>
          <w:tcPr>
            <w:tcW w:w="1188" w:type="dxa"/>
            <w:vAlign w:val="center"/>
          </w:tcPr>
          <w:p w:rsidR="000F7FAD" w:rsidRDefault="00BB4424">
            <w:pPr>
              <w:spacing w:line="300" w:lineRule="exact"/>
              <w:jc w:val="center"/>
              <w:rPr>
                <w:sz w:val="24"/>
              </w:rPr>
            </w:pPr>
            <w:r>
              <w:rPr>
                <w:rFonts w:hint="eastAsia"/>
                <w:sz w:val="24"/>
              </w:rPr>
              <w:t>170478</w:t>
            </w:r>
          </w:p>
        </w:tc>
        <w:tc>
          <w:tcPr>
            <w:tcW w:w="1485" w:type="dxa"/>
            <w:vAlign w:val="center"/>
          </w:tcPr>
          <w:p w:rsidR="000F7FAD" w:rsidRDefault="00BB4424">
            <w:pPr>
              <w:spacing w:line="300" w:lineRule="exact"/>
              <w:jc w:val="center"/>
              <w:rPr>
                <w:rFonts w:eastAsia="宋体"/>
                <w:sz w:val="24"/>
              </w:rPr>
            </w:pPr>
            <w:r>
              <w:rPr>
                <w:sz w:val="24"/>
              </w:rPr>
              <w:t>154</w:t>
            </w:r>
          </w:p>
        </w:tc>
        <w:tc>
          <w:tcPr>
            <w:tcW w:w="1275" w:type="dxa"/>
            <w:vAlign w:val="center"/>
          </w:tcPr>
          <w:p w:rsidR="000F7FAD" w:rsidRDefault="00BB4424">
            <w:pPr>
              <w:spacing w:line="300" w:lineRule="exact"/>
              <w:jc w:val="center"/>
              <w:rPr>
                <w:rFonts w:eastAsia="宋体"/>
                <w:sz w:val="24"/>
              </w:rPr>
            </w:pPr>
            <w:r>
              <w:rPr>
                <w:sz w:val="24"/>
              </w:rPr>
              <w:t>1301</w:t>
            </w:r>
          </w:p>
        </w:tc>
        <w:tc>
          <w:tcPr>
            <w:tcW w:w="1418" w:type="dxa"/>
            <w:vAlign w:val="center"/>
          </w:tcPr>
          <w:p w:rsidR="000F7FAD" w:rsidRDefault="00BB4424">
            <w:pPr>
              <w:spacing w:line="300" w:lineRule="exact"/>
              <w:jc w:val="center"/>
              <w:rPr>
                <w:sz w:val="24"/>
              </w:rPr>
            </w:pPr>
            <w:r>
              <w:rPr>
                <w:rFonts w:hint="eastAsia"/>
                <w:sz w:val="24"/>
              </w:rPr>
              <w:t>&gt;</w:t>
            </w:r>
            <w:r>
              <w:rPr>
                <w:sz w:val="24"/>
              </w:rPr>
              <w:t>7</w:t>
            </w:r>
            <w:r>
              <w:rPr>
                <w:rFonts w:hint="eastAsia"/>
                <w:sz w:val="24"/>
              </w:rPr>
              <w:t>8</w:t>
            </w:r>
            <w:r>
              <w:rPr>
                <w:sz w:val="24"/>
              </w:rPr>
              <w:t>%</w:t>
            </w:r>
          </w:p>
        </w:tc>
        <w:tc>
          <w:tcPr>
            <w:tcW w:w="1417" w:type="dxa"/>
            <w:vAlign w:val="center"/>
          </w:tcPr>
          <w:p w:rsidR="000F7FAD" w:rsidRDefault="00BB4424">
            <w:pPr>
              <w:spacing w:line="300" w:lineRule="exact"/>
              <w:jc w:val="center"/>
              <w:rPr>
                <w:sz w:val="24"/>
              </w:rPr>
            </w:pPr>
            <w:r>
              <w:rPr>
                <w:rFonts w:hint="eastAsia"/>
                <w:sz w:val="24"/>
              </w:rPr>
              <w:t>&gt;</w:t>
            </w:r>
            <w:r>
              <w:rPr>
                <w:sz w:val="24"/>
              </w:rPr>
              <w:t>9</w:t>
            </w:r>
            <w:r>
              <w:rPr>
                <w:rFonts w:hint="eastAsia"/>
                <w:sz w:val="24"/>
              </w:rPr>
              <w:t>6</w:t>
            </w:r>
            <w:r>
              <w:rPr>
                <w:sz w:val="24"/>
              </w:rPr>
              <w:t>%</w:t>
            </w:r>
          </w:p>
        </w:tc>
        <w:tc>
          <w:tcPr>
            <w:tcW w:w="1701" w:type="dxa"/>
            <w:vAlign w:val="center"/>
          </w:tcPr>
          <w:p w:rsidR="000F7FAD" w:rsidRDefault="00BB4424">
            <w:pPr>
              <w:spacing w:line="300" w:lineRule="exact"/>
              <w:jc w:val="center"/>
              <w:rPr>
                <w:sz w:val="24"/>
              </w:rPr>
            </w:pPr>
            <w:r>
              <w:rPr>
                <w:rFonts w:hint="eastAsia"/>
                <w:sz w:val="24"/>
              </w:rPr>
              <w:t>100</w:t>
            </w:r>
            <w:r>
              <w:rPr>
                <w:sz w:val="24"/>
              </w:rPr>
              <w:t>%</w:t>
            </w:r>
          </w:p>
        </w:tc>
      </w:tr>
      <w:tr w:rsidR="000F7FAD">
        <w:trPr>
          <w:trHeight w:val="276"/>
          <w:jc w:val="center"/>
        </w:trPr>
        <w:tc>
          <w:tcPr>
            <w:tcW w:w="708" w:type="dxa"/>
            <w:vAlign w:val="center"/>
          </w:tcPr>
          <w:p w:rsidR="000F7FAD" w:rsidRDefault="00BB4424">
            <w:pPr>
              <w:spacing w:line="300" w:lineRule="exact"/>
              <w:jc w:val="center"/>
              <w:rPr>
                <w:rFonts w:eastAsia="黑体"/>
                <w:sz w:val="24"/>
              </w:rPr>
            </w:pPr>
            <w:r>
              <w:rPr>
                <w:rFonts w:eastAsia="黑体"/>
                <w:sz w:val="24"/>
              </w:rPr>
              <w:t>2</w:t>
            </w:r>
          </w:p>
        </w:tc>
        <w:tc>
          <w:tcPr>
            <w:tcW w:w="1014" w:type="dxa"/>
            <w:vAlign w:val="center"/>
          </w:tcPr>
          <w:p w:rsidR="000F7FAD" w:rsidRDefault="00BB4424">
            <w:pPr>
              <w:spacing w:line="300" w:lineRule="exact"/>
              <w:jc w:val="center"/>
              <w:rPr>
                <w:rFonts w:ascii="仿宋_GB2312"/>
                <w:sz w:val="24"/>
              </w:rPr>
            </w:pPr>
            <w:r>
              <w:rPr>
                <w:rFonts w:ascii="仿宋_GB2312" w:hAnsi="黑体" w:hint="eastAsia"/>
                <w:sz w:val="24"/>
              </w:rPr>
              <w:t>石龙</w:t>
            </w:r>
          </w:p>
        </w:tc>
        <w:tc>
          <w:tcPr>
            <w:tcW w:w="1188" w:type="dxa"/>
            <w:vAlign w:val="center"/>
          </w:tcPr>
          <w:p w:rsidR="000F7FAD" w:rsidRDefault="00BB4424">
            <w:pPr>
              <w:spacing w:line="300" w:lineRule="exact"/>
              <w:jc w:val="center"/>
              <w:rPr>
                <w:sz w:val="24"/>
              </w:rPr>
            </w:pPr>
            <w:r>
              <w:rPr>
                <w:rFonts w:hint="eastAsia"/>
                <w:sz w:val="24"/>
              </w:rPr>
              <w:t>141867</w:t>
            </w:r>
          </w:p>
        </w:tc>
        <w:tc>
          <w:tcPr>
            <w:tcW w:w="1485" w:type="dxa"/>
            <w:vAlign w:val="center"/>
          </w:tcPr>
          <w:p w:rsidR="000F7FAD" w:rsidRDefault="00BB4424">
            <w:pPr>
              <w:spacing w:line="300" w:lineRule="exact"/>
              <w:jc w:val="center"/>
              <w:rPr>
                <w:rFonts w:eastAsia="宋体"/>
                <w:sz w:val="24"/>
              </w:rPr>
            </w:pPr>
            <w:r>
              <w:rPr>
                <w:sz w:val="24"/>
              </w:rPr>
              <w:t>77</w:t>
            </w:r>
          </w:p>
        </w:tc>
        <w:tc>
          <w:tcPr>
            <w:tcW w:w="1275" w:type="dxa"/>
            <w:vAlign w:val="center"/>
          </w:tcPr>
          <w:p w:rsidR="000F7FAD" w:rsidRDefault="00BB4424">
            <w:pPr>
              <w:spacing w:line="300" w:lineRule="exact"/>
              <w:jc w:val="center"/>
              <w:rPr>
                <w:rFonts w:eastAsia="宋体"/>
                <w:sz w:val="24"/>
              </w:rPr>
            </w:pPr>
            <w:r>
              <w:rPr>
                <w:sz w:val="24"/>
              </w:rPr>
              <w:t>653</w:t>
            </w:r>
          </w:p>
        </w:tc>
        <w:tc>
          <w:tcPr>
            <w:tcW w:w="1418" w:type="dxa"/>
            <w:vAlign w:val="center"/>
          </w:tcPr>
          <w:p w:rsidR="000F7FAD" w:rsidRDefault="00BB4424">
            <w:pPr>
              <w:spacing w:line="300" w:lineRule="exact"/>
              <w:jc w:val="center"/>
              <w:rPr>
                <w:sz w:val="24"/>
              </w:rPr>
            </w:pPr>
            <w:r>
              <w:rPr>
                <w:rFonts w:hint="eastAsia"/>
                <w:sz w:val="24"/>
              </w:rPr>
              <w:t>&gt;</w:t>
            </w:r>
            <w:r>
              <w:rPr>
                <w:sz w:val="24"/>
              </w:rPr>
              <w:t>7</w:t>
            </w:r>
            <w:r>
              <w:rPr>
                <w:rFonts w:hint="eastAsia"/>
                <w:sz w:val="24"/>
              </w:rPr>
              <w:t>8</w:t>
            </w:r>
            <w:r>
              <w:rPr>
                <w:sz w:val="24"/>
              </w:rPr>
              <w:t>%</w:t>
            </w:r>
          </w:p>
        </w:tc>
        <w:tc>
          <w:tcPr>
            <w:tcW w:w="1417" w:type="dxa"/>
            <w:vAlign w:val="center"/>
          </w:tcPr>
          <w:p w:rsidR="000F7FAD" w:rsidRDefault="00BB4424">
            <w:pPr>
              <w:spacing w:line="300" w:lineRule="exact"/>
              <w:jc w:val="center"/>
              <w:rPr>
                <w:sz w:val="24"/>
              </w:rPr>
            </w:pPr>
            <w:r>
              <w:rPr>
                <w:rFonts w:hint="eastAsia"/>
                <w:sz w:val="24"/>
              </w:rPr>
              <w:t>&gt;</w:t>
            </w:r>
            <w:r>
              <w:rPr>
                <w:sz w:val="24"/>
              </w:rPr>
              <w:t>9</w:t>
            </w:r>
            <w:r>
              <w:rPr>
                <w:rFonts w:hint="eastAsia"/>
                <w:sz w:val="24"/>
              </w:rPr>
              <w:t>6</w:t>
            </w:r>
            <w:r>
              <w:rPr>
                <w:sz w:val="24"/>
              </w:rPr>
              <w:t>%</w:t>
            </w:r>
          </w:p>
        </w:tc>
        <w:tc>
          <w:tcPr>
            <w:tcW w:w="1701" w:type="dxa"/>
            <w:vAlign w:val="center"/>
          </w:tcPr>
          <w:p w:rsidR="000F7FAD" w:rsidRDefault="00BB4424">
            <w:pPr>
              <w:spacing w:line="300" w:lineRule="exact"/>
              <w:jc w:val="center"/>
              <w:rPr>
                <w:sz w:val="24"/>
              </w:rPr>
            </w:pPr>
            <w:r>
              <w:rPr>
                <w:rFonts w:hint="eastAsia"/>
                <w:sz w:val="24"/>
              </w:rPr>
              <w:t>100</w:t>
            </w:r>
            <w:r>
              <w:rPr>
                <w:sz w:val="24"/>
              </w:rPr>
              <w:t>%</w:t>
            </w:r>
          </w:p>
        </w:tc>
      </w:tr>
      <w:tr w:rsidR="000F7FAD">
        <w:trPr>
          <w:trHeight w:val="276"/>
          <w:jc w:val="center"/>
        </w:trPr>
        <w:tc>
          <w:tcPr>
            <w:tcW w:w="708" w:type="dxa"/>
            <w:vAlign w:val="center"/>
          </w:tcPr>
          <w:p w:rsidR="000F7FAD" w:rsidRDefault="00BB4424">
            <w:pPr>
              <w:spacing w:line="300" w:lineRule="exact"/>
              <w:jc w:val="center"/>
              <w:rPr>
                <w:rFonts w:eastAsia="黑体"/>
                <w:sz w:val="24"/>
              </w:rPr>
            </w:pPr>
            <w:r>
              <w:rPr>
                <w:rFonts w:eastAsia="黑体"/>
                <w:sz w:val="24"/>
              </w:rPr>
              <w:t>3</w:t>
            </w:r>
          </w:p>
        </w:tc>
        <w:tc>
          <w:tcPr>
            <w:tcW w:w="1014" w:type="dxa"/>
            <w:vAlign w:val="center"/>
          </w:tcPr>
          <w:p w:rsidR="000F7FAD" w:rsidRDefault="00BB4424">
            <w:pPr>
              <w:spacing w:line="300" w:lineRule="exact"/>
              <w:jc w:val="center"/>
              <w:rPr>
                <w:rFonts w:ascii="仿宋_GB2312"/>
                <w:sz w:val="24"/>
              </w:rPr>
            </w:pPr>
            <w:r>
              <w:rPr>
                <w:rFonts w:ascii="仿宋_GB2312" w:hAnsi="黑体" w:hint="eastAsia"/>
                <w:sz w:val="24"/>
              </w:rPr>
              <w:t>虎门</w:t>
            </w:r>
          </w:p>
        </w:tc>
        <w:tc>
          <w:tcPr>
            <w:tcW w:w="1188" w:type="dxa"/>
            <w:vAlign w:val="center"/>
          </w:tcPr>
          <w:p w:rsidR="000F7FAD" w:rsidRDefault="00BB4424">
            <w:pPr>
              <w:spacing w:line="300" w:lineRule="exact"/>
              <w:jc w:val="center"/>
              <w:rPr>
                <w:sz w:val="24"/>
              </w:rPr>
            </w:pPr>
            <w:r>
              <w:rPr>
                <w:rFonts w:hint="eastAsia"/>
                <w:sz w:val="24"/>
              </w:rPr>
              <w:t>821381</w:t>
            </w:r>
          </w:p>
        </w:tc>
        <w:tc>
          <w:tcPr>
            <w:tcW w:w="1485" w:type="dxa"/>
            <w:vAlign w:val="center"/>
          </w:tcPr>
          <w:p w:rsidR="000F7FAD" w:rsidRDefault="00BB4424">
            <w:pPr>
              <w:spacing w:line="300" w:lineRule="exact"/>
              <w:jc w:val="center"/>
              <w:rPr>
                <w:rFonts w:eastAsia="宋体"/>
                <w:sz w:val="24"/>
              </w:rPr>
            </w:pPr>
            <w:r>
              <w:rPr>
                <w:rFonts w:eastAsia="宋体"/>
                <w:noProof/>
                <w:sz w:val="24"/>
              </w:rPr>
              <w:drawing>
                <wp:anchor distT="0" distB="0" distL="114300" distR="114300" simplePos="0" relativeHeight="251662336" behindDoc="0" locked="0" layoutInCell="1" hidden="1" allowOverlap="1">
                  <wp:simplePos x="0" y="0"/>
                  <wp:positionH relativeFrom="column">
                    <wp:posOffset>0</wp:posOffset>
                  </wp:positionH>
                  <wp:positionV relativeFrom="paragraph">
                    <wp:posOffset>0</wp:posOffset>
                  </wp:positionV>
                  <wp:extent cx="542925" cy="114300"/>
                  <wp:effectExtent l="0" t="0" r="0" b="0"/>
                  <wp:wrapNone/>
                  <wp:docPr id="4" name="图片 3"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hidden="1"/>
                          <pic:cNvPicPr>
                            <a:picLocks noChangeAspect="1"/>
                          </pic:cNvPicPr>
                        </pic:nvPicPr>
                        <pic:blipFill>
                          <a:blip r:embed="rId7"/>
                          <a:stretch>
                            <a:fillRect/>
                          </a:stretch>
                        </pic:blipFill>
                        <pic:spPr>
                          <a:xfrm>
                            <a:off x="0" y="0"/>
                            <a:ext cx="542925" cy="114300"/>
                          </a:xfrm>
                          <a:prstGeom prst="rect">
                            <a:avLst/>
                          </a:prstGeom>
                          <a:noFill/>
                          <a:ln w="9525" cap="flat" cmpd="sng">
                            <a:solidFill>
                              <a:srgbClr val="000000"/>
                            </a:solidFill>
                            <a:prstDash val="solid"/>
                            <a:miter/>
                            <a:headEnd type="none" w="med" len="med"/>
                            <a:tailEnd type="none" w="med" len="med"/>
                          </a:ln>
                        </pic:spPr>
                      </pic:pic>
                    </a:graphicData>
                  </a:graphic>
                </wp:anchor>
              </w:drawing>
            </w:r>
            <w:r>
              <w:rPr>
                <w:sz w:val="24"/>
              </w:rPr>
              <w:t>394</w:t>
            </w:r>
          </w:p>
        </w:tc>
        <w:tc>
          <w:tcPr>
            <w:tcW w:w="1275" w:type="dxa"/>
            <w:vAlign w:val="center"/>
          </w:tcPr>
          <w:p w:rsidR="000F7FAD" w:rsidRDefault="00BB4424">
            <w:pPr>
              <w:spacing w:line="300" w:lineRule="exact"/>
              <w:jc w:val="center"/>
              <w:rPr>
                <w:rFonts w:eastAsia="宋体"/>
                <w:sz w:val="24"/>
              </w:rPr>
            </w:pPr>
            <w:r>
              <w:rPr>
                <w:sz w:val="24"/>
              </w:rPr>
              <w:t>3323</w:t>
            </w:r>
          </w:p>
        </w:tc>
        <w:tc>
          <w:tcPr>
            <w:tcW w:w="1418" w:type="dxa"/>
            <w:vAlign w:val="center"/>
          </w:tcPr>
          <w:p w:rsidR="000F7FAD" w:rsidRDefault="00BB4424">
            <w:pPr>
              <w:spacing w:line="300" w:lineRule="exact"/>
              <w:jc w:val="center"/>
              <w:rPr>
                <w:sz w:val="24"/>
              </w:rPr>
            </w:pPr>
            <w:r>
              <w:rPr>
                <w:rFonts w:hint="eastAsia"/>
                <w:sz w:val="24"/>
              </w:rPr>
              <w:t>&gt;</w:t>
            </w:r>
            <w:r>
              <w:rPr>
                <w:sz w:val="24"/>
              </w:rPr>
              <w:t>7</w:t>
            </w:r>
            <w:r>
              <w:rPr>
                <w:rFonts w:hint="eastAsia"/>
                <w:sz w:val="24"/>
              </w:rPr>
              <w:t>8</w:t>
            </w:r>
            <w:r>
              <w:rPr>
                <w:sz w:val="24"/>
              </w:rPr>
              <w:t>%</w:t>
            </w:r>
          </w:p>
        </w:tc>
        <w:tc>
          <w:tcPr>
            <w:tcW w:w="1417" w:type="dxa"/>
            <w:vAlign w:val="center"/>
          </w:tcPr>
          <w:p w:rsidR="000F7FAD" w:rsidRDefault="00BB4424">
            <w:pPr>
              <w:spacing w:line="300" w:lineRule="exact"/>
              <w:jc w:val="center"/>
              <w:rPr>
                <w:sz w:val="24"/>
              </w:rPr>
            </w:pPr>
            <w:r>
              <w:rPr>
                <w:rFonts w:hint="eastAsia"/>
                <w:sz w:val="24"/>
              </w:rPr>
              <w:t>&gt;</w:t>
            </w:r>
            <w:r>
              <w:rPr>
                <w:sz w:val="24"/>
              </w:rPr>
              <w:t>9</w:t>
            </w:r>
            <w:r>
              <w:rPr>
                <w:rFonts w:hint="eastAsia"/>
                <w:sz w:val="24"/>
              </w:rPr>
              <w:t>6</w:t>
            </w:r>
            <w:r>
              <w:rPr>
                <w:sz w:val="24"/>
              </w:rPr>
              <w:t>%</w:t>
            </w:r>
          </w:p>
        </w:tc>
        <w:tc>
          <w:tcPr>
            <w:tcW w:w="1701" w:type="dxa"/>
            <w:vAlign w:val="center"/>
          </w:tcPr>
          <w:p w:rsidR="000F7FAD" w:rsidRDefault="00BB4424">
            <w:pPr>
              <w:spacing w:line="300" w:lineRule="exact"/>
              <w:jc w:val="center"/>
              <w:rPr>
                <w:sz w:val="24"/>
              </w:rPr>
            </w:pPr>
            <w:r>
              <w:rPr>
                <w:rFonts w:hint="eastAsia"/>
                <w:sz w:val="24"/>
              </w:rPr>
              <w:t>100</w:t>
            </w:r>
            <w:r>
              <w:rPr>
                <w:sz w:val="24"/>
              </w:rPr>
              <w:t>%</w:t>
            </w:r>
          </w:p>
        </w:tc>
      </w:tr>
      <w:tr w:rsidR="000F7FAD">
        <w:trPr>
          <w:trHeight w:val="276"/>
          <w:jc w:val="center"/>
        </w:trPr>
        <w:tc>
          <w:tcPr>
            <w:tcW w:w="708" w:type="dxa"/>
            <w:vAlign w:val="center"/>
          </w:tcPr>
          <w:p w:rsidR="000F7FAD" w:rsidRDefault="00BB4424">
            <w:pPr>
              <w:spacing w:line="300" w:lineRule="exact"/>
              <w:jc w:val="center"/>
              <w:rPr>
                <w:rFonts w:eastAsia="黑体"/>
                <w:sz w:val="24"/>
              </w:rPr>
            </w:pPr>
            <w:r>
              <w:rPr>
                <w:rFonts w:eastAsia="黑体"/>
                <w:sz w:val="24"/>
              </w:rPr>
              <w:t>4</w:t>
            </w:r>
          </w:p>
        </w:tc>
        <w:tc>
          <w:tcPr>
            <w:tcW w:w="1014" w:type="dxa"/>
            <w:vAlign w:val="center"/>
          </w:tcPr>
          <w:p w:rsidR="000F7FAD" w:rsidRDefault="00BB4424">
            <w:pPr>
              <w:spacing w:line="300" w:lineRule="exact"/>
              <w:jc w:val="center"/>
              <w:rPr>
                <w:rFonts w:ascii="仿宋_GB2312"/>
                <w:sz w:val="24"/>
              </w:rPr>
            </w:pPr>
            <w:r>
              <w:rPr>
                <w:rFonts w:ascii="仿宋_GB2312" w:hAnsi="黑体" w:hint="eastAsia"/>
                <w:sz w:val="24"/>
              </w:rPr>
              <w:t>东城</w:t>
            </w:r>
          </w:p>
        </w:tc>
        <w:tc>
          <w:tcPr>
            <w:tcW w:w="1188" w:type="dxa"/>
            <w:vAlign w:val="center"/>
          </w:tcPr>
          <w:p w:rsidR="000F7FAD" w:rsidRDefault="00BB4424">
            <w:pPr>
              <w:spacing w:line="300" w:lineRule="exact"/>
              <w:jc w:val="center"/>
              <w:rPr>
                <w:sz w:val="24"/>
              </w:rPr>
            </w:pPr>
            <w:r>
              <w:rPr>
                <w:rFonts w:hint="eastAsia"/>
                <w:sz w:val="24"/>
              </w:rPr>
              <w:t>585248</w:t>
            </w:r>
          </w:p>
        </w:tc>
        <w:tc>
          <w:tcPr>
            <w:tcW w:w="1485" w:type="dxa"/>
            <w:vAlign w:val="center"/>
          </w:tcPr>
          <w:p w:rsidR="000F7FAD" w:rsidRDefault="00BB4424">
            <w:pPr>
              <w:spacing w:line="300" w:lineRule="exact"/>
              <w:jc w:val="center"/>
              <w:rPr>
                <w:rFonts w:eastAsia="宋体"/>
                <w:sz w:val="24"/>
              </w:rPr>
            </w:pPr>
            <w:r>
              <w:rPr>
                <w:sz w:val="24"/>
              </w:rPr>
              <w:t>457</w:t>
            </w:r>
          </w:p>
        </w:tc>
        <w:tc>
          <w:tcPr>
            <w:tcW w:w="1275" w:type="dxa"/>
            <w:vAlign w:val="center"/>
          </w:tcPr>
          <w:p w:rsidR="000F7FAD" w:rsidRDefault="00BB4424">
            <w:pPr>
              <w:spacing w:line="300" w:lineRule="exact"/>
              <w:jc w:val="center"/>
              <w:rPr>
                <w:rFonts w:eastAsia="宋体"/>
                <w:sz w:val="24"/>
              </w:rPr>
            </w:pPr>
            <w:r>
              <w:rPr>
                <w:sz w:val="24"/>
              </w:rPr>
              <w:t>3849</w:t>
            </w:r>
          </w:p>
        </w:tc>
        <w:tc>
          <w:tcPr>
            <w:tcW w:w="1418" w:type="dxa"/>
            <w:vAlign w:val="center"/>
          </w:tcPr>
          <w:p w:rsidR="000F7FAD" w:rsidRDefault="00BB4424">
            <w:pPr>
              <w:spacing w:line="300" w:lineRule="exact"/>
              <w:jc w:val="center"/>
              <w:rPr>
                <w:sz w:val="24"/>
              </w:rPr>
            </w:pPr>
            <w:r>
              <w:rPr>
                <w:rFonts w:hint="eastAsia"/>
                <w:sz w:val="24"/>
              </w:rPr>
              <w:t>&gt;</w:t>
            </w:r>
            <w:r>
              <w:rPr>
                <w:sz w:val="24"/>
              </w:rPr>
              <w:t>7</w:t>
            </w:r>
            <w:r>
              <w:rPr>
                <w:rFonts w:hint="eastAsia"/>
                <w:sz w:val="24"/>
              </w:rPr>
              <w:t>8</w:t>
            </w:r>
            <w:r>
              <w:rPr>
                <w:sz w:val="24"/>
              </w:rPr>
              <w:t>%</w:t>
            </w:r>
          </w:p>
        </w:tc>
        <w:tc>
          <w:tcPr>
            <w:tcW w:w="1417" w:type="dxa"/>
            <w:vAlign w:val="center"/>
          </w:tcPr>
          <w:p w:rsidR="000F7FAD" w:rsidRDefault="00BB4424">
            <w:pPr>
              <w:spacing w:line="300" w:lineRule="exact"/>
              <w:jc w:val="center"/>
              <w:rPr>
                <w:sz w:val="24"/>
              </w:rPr>
            </w:pPr>
            <w:r>
              <w:rPr>
                <w:rFonts w:hint="eastAsia"/>
                <w:sz w:val="24"/>
              </w:rPr>
              <w:t>&gt;</w:t>
            </w:r>
            <w:r>
              <w:rPr>
                <w:sz w:val="24"/>
              </w:rPr>
              <w:t>9</w:t>
            </w:r>
            <w:r>
              <w:rPr>
                <w:rFonts w:hint="eastAsia"/>
                <w:sz w:val="24"/>
              </w:rPr>
              <w:t>6</w:t>
            </w:r>
            <w:r>
              <w:rPr>
                <w:sz w:val="24"/>
              </w:rPr>
              <w:t>%</w:t>
            </w:r>
          </w:p>
        </w:tc>
        <w:tc>
          <w:tcPr>
            <w:tcW w:w="1701" w:type="dxa"/>
            <w:vAlign w:val="center"/>
          </w:tcPr>
          <w:p w:rsidR="000F7FAD" w:rsidRDefault="00BB4424">
            <w:pPr>
              <w:spacing w:line="300" w:lineRule="exact"/>
              <w:jc w:val="center"/>
              <w:rPr>
                <w:sz w:val="24"/>
              </w:rPr>
            </w:pPr>
            <w:r>
              <w:rPr>
                <w:rFonts w:hint="eastAsia"/>
                <w:sz w:val="24"/>
              </w:rPr>
              <w:t>100</w:t>
            </w:r>
            <w:r>
              <w:rPr>
                <w:sz w:val="24"/>
              </w:rPr>
              <w:t>%</w:t>
            </w:r>
          </w:p>
        </w:tc>
      </w:tr>
      <w:tr w:rsidR="000F7FAD">
        <w:trPr>
          <w:trHeight w:val="291"/>
          <w:jc w:val="center"/>
        </w:trPr>
        <w:tc>
          <w:tcPr>
            <w:tcW w:w="708" w:type="dxa"/>
            <w:vAlign w:val="center"/>
          </w:tcPr>
          <w:p w:rsidR="000F7FAD" w:rsidRDefault="00BB4424">
            <w:pPr>
              <w:spacing w:line="300" w:lineRule="exact"/>
              <w:jc w:val="center"/>
              <w:rPr>
                <w:rFonts w:eastAsia="黑体"/>
                <w:sz w:val="24"/>
              </w:rPr>
            </w:pPr>
            <w:r>
              <w:rPr>
                <w:rFonts w:eastAsia="黑体"/>
                <w:sz w:val="24"/>
              </w:rPr>
              <w:t>5</w:t>
            </w:r>
          </w:p>
        </w:tc>
        <w:tc>
          <w:tcPr>
            <w:tcW w:w="1014" w:type="dxa"/>
            <w:vAlign w:val="center"/>
          </w:tcPr>
          <w:p w:rsidR="000F7FAD" w:rsidRDefault="00BB4424">
            <w:pPr>
              <w:spacing w:line="300" w:lineRule="exact"/>
              <w:jc w:val="center"/>
              <w:rPr>
                <w:rFonts w:ascii="仿宋_GB2312"/>
                <w:sz w:val="24"/>
              </w:rPr>
            </w:pPr>
            <w:r>
              <w:rPr>
                <w:rFonts w:ascii="仿宋_GB2312" w:hAnsi="黑体" w:hint="eastAsia"/>
                <w:sz w:val="24"/>
              </w:rPr>
              <w:t>万江</w:t>
            </w:r>
          </w:p>
        </w:tc>
        <w:tc>
          <w:tcPr>
            <w:tcW w:w="1188" w:type="dxa"/>
            <w:vAlign w:val="center"/>
          </w:tcPr>
          <w:p w:rsidR="000F7FAD" w:rsidRDefault="00BB4424">
            <w:pPr>
              <w:spacing w:line="300" w:lineRule="exact"/>
              <w:jc w:val="center"/>
              <w:rPr>
                <w:sz w:val="24"/>
              </w:rPr>
            </w:pPr>
            <w:r>
              <w:rPr>
                <w:rFonts w:hint="eastAsia"/>
                <w:sz w:val="24"/>
              </w:rPr>
              <w:t>322279</w:t>
            </w:r>
          </w:p>
        </w:tc>
        <w:tc>
          <w:tcPr>
            <w:tcW w:w="1485" w:type="dxa"/>
            <w:vAlign w:val="center"/>
          </w:tcPr>
          <w:p w:rsidR="000F7FAD" w:rsidRDefault="00BB4424">
            <w:pPr>
              <w:spacing w:line="300" w:lineRule="exact"/>
              <w:jc w:val="center"/>
              <w:rPr>
                <w:rFonts w:eastAsia="宋体"/>
                <w:sz w:val="24"/>
              </w:rPr>
            </w:pPr>
            <w:r>
              <w:rPr>
                <w:sz w:val="24"/>
              </w:rPr>
              <w:t>156</w:t>
            </w:r>
          </w:p>
        </w:tc>
        <w:tc>
          <w:tcPr>
            <w:tcW w:w="1275" w:type="dxa"/>
            <w:vAlign w:val="center"/>
          </w:tcPr>
          <w:p w:rsidR="000F7FAD" w:rsidRDefault="00BB4424">
            <w:pPr>
              <w:spacing w:line="300" w:lineRule="exact"/>
              <w:jc w:val="center"/>
              <w:rPr>
                <w:rFonts w:eastAsia="宋体"/>
                <w:sz w:val="24"/>
              </w:rPr>
            </w:pPr>
            <w:r>
              <w:rPr>
                <w:sz w:val="24"/>
              </w:rPr>
              <w:t>1317</w:t>
            </w:r>
          </w:p>
        </w:tc>
        <w:tc>
          <w:tcPr>
            <w:tcW w:w="1418" w:type="dxa"/>
            <w:vAlign w:val="center"/>
          </w:tcPr>
          <w:p w:rsidR="000F7FAD" w:rsidRDefault="00BB4424">
            <w:pPr>
              <w:spacing w:line="300" w:lineRule="exact"/>
              <w:jc w:val="center"/>
              <w:rPr>
                <w:sz w:val="24"/>
              </w:rPr>
            </w:pPr>
            <w:r>
              <w:rPr>
                <w:rFonts w:hint="eastAsia"/>
                <w:sz w:val="24"/>
              </w:rPr>
              <w:t>&gt;</w:t>
            </w:r>
            <w:r>
              <w:rPr>
                <w:sz w:val="24"/>
              </w:rPr>
              <w:t>7</w:t>
            </w:r>
            <w:r>
              <w:rPr>
                <w:rFonts w:hint="eastAsia"/>
                <w:sz w:val="24"/>
              </w:rPr>
              <w:t>8</w:t>
            </w:r>
            <w:r>
              <w:rPr>
                <w:sz w:val="24"/>
              </w:rPr>
              <w:t>%</w:t>
            </w:r>
          </w:p>
        </w:tc>
        <w:tc>
          <w:tcPr>
            <w:tcW w:w="1417" w:type="dxa"/>
            <w:vAlign w:val="center"/>
          </w:tcPr>
          <w:p w:rsidR="000F7FAD" w:rsidRDefault="00BB4424">
            <w:pPr>
              <w:spacing w:line="300" w:lineRule="exact"/>
              <w:jc w:val="center"/>
              <w:rPr>
                <w:sz w:val="24"/>
              </w:rPr>
            </w:pPr>
            <w:r>
              <w:rPr>
                <w:rFonts w:hint="eastAsia"/>
                <w:sz w:val="24"/>
              </w:rPr>
              <w:t>&gt;</w:t>
            </w:r>
            <w:r>
              <w:rPr>
                <w:sz w:val="24"/>
              </w:rPr>
              <w:t>9</w:t>
            </w:r>
            <w:r>
              <w:rPr>
                <w:rFonts w:hint="eastAsia"/>
                <w:sz w:val="24"/>
              </w:rPr>
              <w:t>6</w:t>
            </w:r>
            <w:r>
              <w:rPr>
                <w:sz w:val="24"/>
              </w:rPr>
              <w:t>%</w:t>
            </w:r>
          </w:p>
        </w:tc>
        <w:tc>
          <w:tcPr>
            <w:tcW w:w="1701" w:type="dxa"/>
            <w:vAlign w:val="center"/>
          </w:tcPr>
          <w:p w:rsidR="000F7FAD" w:rsidRDefault="00BB4424">
            <w:pPr>
              <w:spacing w:line="300" w:lineRule="exact"/>
              <w:jc w:val="center"/>
              <w:rPr>
                <w:sz w:val="24"/>
              </w:rPr>
            </w:pPr>
            <w:r>
              <w:rPr>
                <w:rFonts w:hint="eastAsia"/>
                <w:sz w:val="24"/>
              </w:rPr>
              <w:t>100</w:t>
            </w:r>
            <w:r>
              <w:rPr>
                <w:sz w:val="24"/>
              </w:rPr>
              <w:t>%</w:t>
            </w:r>
          </w:p>
        </w:tc>
      </w:tr>
      <w:tr w:rsidR="000F7FAD">
        <w:trPr>
          <w:trHeight w:val="276"/>
          <w:jc w:val="center"/>
        </w:trPr>
        <w:tc>
          <w:tcPr>
            <w:tcW w:w="708" w:type="dxa"/>
            <w:vAlign w:val="center"/>
          </w:tcPr>
          <w:p w:rsidR="000F7FAD" w:rsidRDefault="00BB4424">
            <w:pPr>
              <w:spacing w:line="300" w:lineRule="exact"/>
              <w:jc w:val="center"/>
              <w:rPr>
                <w:rFonts w:eastAsia="黑体"/>
                <w:sz w:val="24"/>
              </w:rPr>
            </w:pPr>
            <w:r>
              <w:rPr>
                <w:rFonts w:eastAsia="黑体"/>
                <w:sz w:val="24"/>
              </w:rPr>
              <w:t>6</w:t>
            </w:r>
          </w:p>
        </w:tc>
        <w:tc>
          <w:tcPr>
            <w:tcW w:w="1014" w:type="dxa"/>
            <w:vAlign w:val="center"/>
          </w:tcPr>
          <w:p w:rsidR="000F7FAD" w:rsidRDefault="00BB4424">
            <w:pPr>
              <w:spacing w:line="300" w:lineRule="exact"/>
              <w:jc w:val="center"/>
              <w:rPr>
                <w:rFonts w:ascii="仿宋_GB2312"/>
                <w:sz w:val="24"/>
              </w:rPr>
            </w:pPr>
            <w:r>
              <w:rPr>
                <w:rFonts w:ascii="仿宋_GB2312" w:hAnsi="黑体" w:hint="eastAsia"/>
                <w:sz w:val="24"/>
              </w:rPr>
              <w:t>南城</w:t>
            </w:r>
          </w:p>
        </w:tc>
        <w:tc>
          <w:tcPr>
            <w:tcW w:w="1188" w:type="dxa"/>
            <w:vAlign w:val="center"/>
          </w:tcPr>
          <w:p w:rsidR="000F7FAD" w:rsidRDefault="00BB4424">
            <w:pPr>
              <w:spacing w:line="300" w:lineRule="exact"/>
              <w:jc w:val="center"/>
              <w:rPr>
                <w:sz w:val="24"/>
              </w:rPr>
            </w:pPr>
            <w:r>
              <w:rPr>
                <w:rFonts w:hint="eastAsia"/>
                <w:sz w:val="24"/>
              </w:rPr>
              <w:t>409922</w:t>
            </w:r>
          </w:p>
        </w:tc>
        <w:tc>
          <w:tcPr>
            <w:tcW w:w="1485" w:type="dxa"/>
            <w:vAlign w:val="center"/>
          </w:tcPr>
          <w:p w:rsidR="000F7FAD" w:rsidRDefault="00BB4424">
            <w:pPr>
              <w:spacing w:line="300" w:lineRule="exact"/>
              <w:jc w:val="center"/>
              <w:rPr>
                <w:rFonts w:eastAsia="宋体"/>
                <w:sz w:val="24"/>
              </w:rPr>
            </w:pPr>
            <w:r>
              <w:rPr>
                <w:sz w:val="24"/>
              </w:rPr>
              <w:t>414</w:t>
            </w:r>
          </w:p>
        </w:tc>
        <w:tc>
          <w:tcPr>
            <w:tcW w:w="1275" w:type="dxa"/>
            <w:vAlign w:val="center"/>
          </w:tcPr>
          <w:p w:rsidR="000F7FAD" w:rsidRDefault="00BB4424">
            <w:pPr>
              <w:spacing w:line="300" w:lineRule="exact"/>
              <w:jc w:val="center"/>
              <w:rPr>
                <w:rFonts w:eastAsia="宋体"/>
                <w:sz w:val="24"/>
              </w:rPr>
            </w:pPr>
            <w:r>
              <w:rPr>
                <w:sz w:val="24"/>
              </w:rPr>
              <w:t>3486</w:t>
            </w:r>
          </w:p>
        </w:tc>
        <w:tc>
          <w:tcPr>
            <w:tcW w:w="1418" w:type="dxa"/>
            <w:vAlign w:val="center"/>
          </w:tcPr>
          <w:p w:rsidR="000F7FAD" w:rsidRDefault="00BB4424">
            <w:pPr>
              <w:spacing w:line="300" w:lineRule="exact"/>
              <w:jc w:val="center"/>
              <w:rPr>
                <w:sz w:val="24"/>
              </w:rPr>
            </w:pPr>
            <w:r>
              <w:rPr>
                <w:rFonts w:hint="eastAsia"/>
                <w:sz w:val="24"/>
              </w:rPr>
              <w:t>&gt;</w:t>
            </w:r>
            <w:r>
              <w:rPr>
                <w:sz w:val="24"/>
              </w:rPr>
              <w:t>7</w:t>
            </w:r>
            <w:r>
              <w:rPr>
                <w:rFonts w:hint="eastAsia"/>
                <w:sz w:val="24"/>
              </w:rPr>
              <w:t>8</w:t>
            </w:r>
            <w:r>
              <w:rPr>
                <w:sz w:val="24"/>
              </w:rPr>
              <w:t>%</w:t>
            </w:r>
          </w:p>
        </w:tc>
        <w:tc>
          <w:tcPr>
            <w:tcW w:w="1417" w:type="dxa"/>
            <w:vAlign w:val="center"/>
          </w:tcPr>
          <w:p w:rsidR="000F7FAD" w:rsidRDefault="00BB4424">
            <w:pPr>
              <w:spacing w:line="300" w:lineRule="exact"/>
              <w:jc w:val="center"/>
              <w:rPr>
                <w:sz w:val="24"/>
              </w:rPr>
            </w:pPr>
            <w:r>
              <w:rPr>
                <w:rFonts w:hint="eastAsia"/>
                <w:sz w:val="24"/>
              </w:rPr>
              <w:t>&gt;</w:t>
            </w:r>
            <w:r>
              <w:rPr>
                <w:sz w:val="24"/>
              </w:rPr>
              <w:t>9</w:t>
            </w:r>
            <w:r>
              <w:rPr>
                <w:rFonts w:hint="eastAsia"/>
                <w:sz w:val="24"/>
              </w:rPr>
              <w:t>6</w:t>
            </w:r>
            <w:r>
              <w:rPr>
                <w:sz w:val="24"/>
              </w:rPr>
              <w:t>%</w:t>
            </w:r>
          </w:p>
        </w:tc>
        <w:tc>
          <w:tcPr>
            <w:tcW w:w="1701" w:type="dxa"/>
            <w:vAlign w:val="center"/>
          </w:tcPr>
          <w:p w:rsidR="000F7FAD" w:rsidRDefault="00BB4424">
            <w:pPr>
              <w:spacing w:line="300" w:lineRule="exact"/>
              <w:jc w:val="center"/>
              <w:rPr>
                <w:sz w:val="24"/>
              </w:rPr>
            </w:pPr>
            <w:r>
              <w:rPr>
                <w:rFonts w:hint="eastAsia"/>
                <w:sz w:val="24"/>
              </w:rPr>
              <w:t>100</w:t>
            </w:r>
            <w:r>
              <w:rPr>
                <w:sz w:val="24"/>
              </w:rPr>
              <w:t>%</w:t>
            </w:r>
          </w:p>
        </w:tc>
      </w:tr>
      <w:tr w:rsidR="000F7FAD">
        <w:trPr>
          <w:trHeight w:val="276"/>
          <w:jc w:val="center"/>
        </w:trPr>
        <w:tc>
          <w:tcPr>
            <w:tcW w:w="708" w:type="dxa"/>
            <w:vAlign w:val="center"/>
          </w:tcPr>
          <w:p w:rsidR="000F7FAD" w:rsidRDefault="00BB4424">
            <w:pPr>
              <w:spacing w:line="300" w:lineRule="exact"/>
              <w:jc w:val="center"/>
              <w:rPr>
                <w:rFonts w:eastAsia="黑体"/>
                <w:sz w:val="24"/>
              </w:rPr>
            </w:pPr>
            <w:r>
              <w:rPr>
                <w:rFonts w:eastAsia="黑体"/>
                <w:sz w:val="24"/>
              </w:rPr>
              <w:t>7</w:t>
            </w:r>
          </w:p>
        </w:tc>
        <w:tc>
          <w:tcPr>
            <w:tcW w:w="1014" w:type="dxa"/>
            <w:vAlign w:val="center"/>
          </w:tcPr>
          <w:p w:rsidR="000F7FAD" w:rsidRDefault="00BB4424">
            <w:pPr>
              <w:spacing w:line="300" w:lineRule="exact"/>
              <w:jc w:val="center"/>
              <w:rPr>
                <w:rFonts w:ascii="仿宋_GB2312"/>
                <w:sz w:val="24"/>
              </w:rPr>
            </w:pPr>
            <w:r>
              <w:rPr>
                <w:rFonts w:ascii="仿宋_GB2312" w:hAnsi="黑体" w:hint="eastAsia"/>
                <w:sz w:val="24"/>
              </w:rPr>
              <w:t>中堂</w:t>
            </w:r>
          </w:p>
        </w:tc>
        <w:tc>
          <w:tcPr>
            <w:tcW w:w="1188" w:type="dxa"/>
            <w:vAlign w:val="center"/>
          </w:tcPr>
          <w:p w:rsidR="000F7FAD" w:rsidRDefault="00BB4424">
            <w:pPr>
              <w:spacing w:line="300" w:lineRule="exact"/>
              <w:jc w:val="center"/>
              <w:rPr>
                <w:sz w:val="24"/>
              </w:rPr>
            </w:pPr>
            <w:r>
              <w:rPr>
                <w:rFonts w:hint="eastAsia"/>
                <w:sz w:val="24"/>
              </w:rPr>
              <w:t>192952</w:t>
            </w:r>
          </w:p>
        </w:tc>
        <w:tc>
          <w:tcPr>
            <w:tcW w:w="1485" w:type="dxa"/>
            <w:vAlign w:val="center"/>
          </w:tcPr>
          <w:p w:rsidR="000F7FAD" w:rsidRDefault="00BB4424">
            <w:pPr>
              <w:spacing w:line="300" w:lineRule="exact"/>
              <w:jc w:val="center"/>
              <w:rPr>
                <w:rFonts w:eastAsia="宋体"/>
                <w:sz w:val="24"/>
              </w:rPr>
            </w:pPr>
            <w:r>
              <w:rPr>
                <w:sz w:val="24"/>
              </w:rPr>
              <w:t>81</w:t>
            </w:r>
          </w:p>
        </w:tc>
        <w:tc>
          <w:tcPr>
            <w:tcW w:w="1275" w:type="dxa"/>
            <w:vAlign w:val="center"/>
          </w:tcPr>
          <w:p w:rsidR="000F7FAD" w:rsidRDefault="00BB4424">
            <w:pPr>
              <w:spacing w:line="300" w:lineRule="exact"/>
              <w:jc w:val="center"/>
              <w:rPr>
                <w:rFonts w:eastAsia="宋体"/>
                <w:sz w:val="24"/>
              </w:rPr>
            </w:pPr>
            <w:r>
              <w:rPr>
                <w:sz w:val="24"/>
              </w:rPr>
              <w:t>681</w:t>
            </w:r>
          </w:p>
        </w:tc>
        <w:tc>
          <w:tcPr>
            <w:tcW w:w="1418" w:type="dxa"/>
            <w:vAlign w:val="center"/>
          </w:tcPr>
          <w:p w:rsidR="000F7FAD" w:rsidRDefault="00BB4424">
            <w:pPr>
              <w:spacing w:line="300" w:lineRule="exact"/>
              <w:jc w:val="center"/>
              <w:rPr>
                <w:sz w:val="24"/>
              </w:rPr>
            </w:pPr>
            <w:r>
              <w:rPr>
                <w:rFonts w:hint="eastAsia"/>
                <w:sz w:val="24"/>
              </w:rPr>
              <w:t>&gt;</w:t>
            </w:r>
            <w:r>
              <w:rPr>
                <w:sz w:val="24"/>
              </w:rPr>
              <w:t>7</w:t>
            </w:r>
            <w:r>
              <w:rPr>
                <w:rFonts w:hint="eastAsia"/>
                <w:sz w:val="24"/>
              </w:rPr>
              <w:t>8</w:t>
            </w:r>
            <w:r>
              <w:rPr>
                <w:sz w:val="24"/>
              </w:rPr>
              <w:t>%</w:t>
            </w:r>
          </w:p>
        </w:tc>
        <w:tc>
          <w:tcPr>
            <w:tcW w:w="1417" w:type="dxa"/>
            <w:vAlign w:val="center"/>
          </w:tcPr>
          <w:p w:rsidR="000F7FAD" w:rsidRDefault="00BB4424">
            <w:pPr>
              <w:spacing w:line="300" w:lineRule="exact"/>
              <w:jc w:val="center"/>
              <w:rPr>
                <w:sz w:val="24"/>
              </w:rPr>
            </w:pPr>
            <w:r>
              <w:rPr>
                <w:rFonts w:hint="eastAsia"/>
                <w:sz w:val="24"/>
              </w:rPr>
              <w:t>&gt;</w:t>
            </w:r>
            <w:r>
              <w:rPr>
                <w:sz w:val="24"/>
              </w:rPr>
              <w:t>9</w:t>
            </w:r>
            <w:r>
              <w:rPr>
                <w:rFonts w:hint="eastAsia"/>
                <w:sz w:val="24"/>
              </w:rPr>
              <w:t>6</w:t>
            </w:r>
            <w:r>
              <w:rPr>
                <w:sz w:val="24"/>
              </w:rPr>
              <w:t>%</w:t>
            </w:r>
          </w:p>
        </w:tc>
        <w:tc>
          <w:tcPr>
            <w:tcW w:w="1701" w:type="dxa"/>
            <w:vAlign w:val="center"/>
          </w:tcPr>
          <w:p w:rsidR="000F7FAD" w:rsidRDefault="00BB4424">
            <w:pPr>
              <w:spacing w:line="300" w:lineRule="exact"/>
              <w:jc w:val="center"/>
              <w:rPr>
                <w:sz w:val="24"/>
              </w:rPr>
            </w:pPr>
            <w:r>
              <w:rPr>
                <w:rFonts w:hint="eastAsia"/>
                <w:sz w:val="24"/>
              </w:rPr>
              <w:t>100</w:t>
            </w:r>
            <w:r>
              <w:rPr>
                <w:sz w:val="24"/>
              </w:rPr>
              <w:t>%</w:t>
            </w:r>
          </w:p>
        </w:tc>
      </w:tr>
      <w:tr w:rsidR="000F7FAD">
        <w:trPr>
          <w:trHeight w:val="276"/>
          <w:jc w:val="center"/>
        </w:trPr>
        <w:tc>
          <w:tcPr>
            <w:tcW w:w="708" w:type="dxa"/>
            <w:vAlign w:val="center"/>
          </w:tcPr>
          <w:p w:rsidR="000F7FAD" w:rsidRDefault="00BB4424">
            <w:pPr>
              <w:spacing w:line="300" w:lineRule="exact"/>
              <w:jc w:val="center"/>
              <w:rPr>
                <w:rFonts w:eastAsia="黑体"/>
                <w:sz w:val="24"/>
              </w:rPr>
            </w:pPr>
            <w:r>
              <w:rPr>
                <w:rFonts w:eastAsia="黑体"/>
                <w:sz w:val="24"/>
              </w:rPr>
              <w:t>8</w:t>
            </w:r>
          </w:p>
        </w:tc>
        <w:tc>
          <w:tcPr>
            <w:tcW w:w="1014" w:type="dxa"/>
            <w:vAlign w:val="center"/>
          </w:tcPr>
          <w:p w:rsidR="000F7FAD" w:rsidRDefault="00BB4424">
            <w:pPr>
              <w:spacing w:line="300" w:lineRule="exact"/>
              <w:jc w:val="center"/>
              <w:rPr>
                <w:rFonts w:ascii="仿宋_GB2312"/>
                <w:sz w:val="24"/>
              </w:rPr>
            </w:pPr>
            <w:r>
              <w:rPr>
                <w:rFonts w:ascii="仿宋_GB2312" w:hAnsi="黑体" w:hint="eastAsia"/>
                <w:sz w:val="24"/>
              </w:rPr>
              <w:t>望牛墩</w:t>
            </w:r>
          </w:p>
        </w:tc>
        <w:tc>
          <w:tcPr>
            <w:tcW w:w="1188" w:type="dxa"/>
            <w:vAlign w:val="center"/>
          </w:tcPr>
          <w:p w:rsidR="000F7FAD" w:rsidRDefault="00BB4424">
            <w:pPr>
              <w:spacing w:line="300" w:lineRule="exact"/>
              <w:jc w:val="center"/>
              <w:rPr>
                <w:sz w:val="24"/>
              </w:rPr>
            </w:pPr>
            <w:r>
              <w:rPr>
                <w:rFonts w:hint="eastAsia"/>
                <w:sz w:val="24"/>
              </w:rPr>
              <w:t>85221</w:t>
            </w:r>
          </w:p>
        </w:tc>
        <w:tc>
          <w:tcPr>
            <w:tcW w:w="1485" w:type="dxa"/>
            <w:vAlign w:val="center"/>
          </w:tcPr>
          <w:p w:rsidR="000F7FAD" w:rsidRDefault="00BB4424">
            <w:pPr>
              <w:spacing w:line="300" w:lineRule="exact"/>
              <w:jc w:val="center"/>
              <w:rPr>
                <w:rFonts w:eastAsia="宋体"/>
                <w:sz w:val="24"/>
              </w:rPr>
            </w:pPr>
            <w:r>
              <w:rPr>
                <w:sz w:val="24"/>
              </w:rPr>
              <w:t>48</w:t>
            </w:r>
          </w:p>
        </w:tc>
        <w:tc>
          <w:tcPr>
            <w:tcW w:w="1275" w:type="dxa"/>
            <w:vAlign w:val="center"/>
          </w:tcPr>
          <w:p w:rsidR="000F7FAD" w:rsidRDefault="00BB4424">
            <w:pPr>
              <w:spacing w:line="300" w:lineRule="exact"/>
              <w:jc w:val="center"/>
              <w:rPr>
                <w:rFonts w:eastAsia="宋体"/>
                <w:sz w:val="24"/>
              </w:rPr>
            </w:pPr>
            <w:r>
              <w:rPr>
                <w:sz w:val="24"/>
              </w:rPr>
              <w:t>404</w:t>
            </w:r>
          </w:p>
        </w:tc>
        <w:tc>
          <w:tcPr>
            <w:tcW w:w="1418" w:type="dxa"/>
            <w:vAlign w:val="center"/>
          </w:tcPr>
          <w:p w:rsidR="000F7FAD" w:rsidRDefault="00BB4424">
            <w:pPr>
              <w:spacing w:line="300" w:lineRule="exact"/>
              <w:jc w:val="center"/>
              <w:rPr>
                <w:sz w:val="24"/>
              </w:rPr>
            </w:pPr>
            <w:r>
              <w:rPr>
                <w:rFonts w:hint="eastAsia"/>
                <w:sz w:val="24"/>
              </w:rPr>
              <w:t>&gt;</w:t>
            </w:r>
            <w:r>
              <w:rPr>
                <w:sz w:val="24"/>
              </w:rPr>
              <w:t>7</w:t>
            </w:r>
            <w:r>
              <w:rPr>
                <w:rFonts w:hint="eastAsia"/>
                <w:sz w:val="24"/>
              </w:rPr>
              <w:t>8</w:t>
            </w:r>
            <w:r>
              <w:rPr>
                <w:sz w:val="24"/>
              </w:rPr>
              <w:t>%</w:t>
            </w:r>
          </w:p>
        </w:tc>
        <w:tc>
          <w:tcPr>
            <w:tcW w:w="1417" w:type="dxa"/>
            <w:vAlign w:val="center"/>
          </w:tcPr>
          <w:p w:rsidR="000F7FAD" w:rsidRDefault="00BB4424">
            <w:pPr>
              <w:spacing w:line="300" w:lineRule="exact"/>
              <w:jc w:val="center"/>
              <w:rPr>
                <w:sz w:val="24"/>
              </w:rPr>
            </w:pPr>
            <w:r>
              <w:rPr>
                <w:rFonts w:hint="eastAsia"/>
                <w:sz w:val="24"/>
              </w:rPr>
              <w:t>&gt;</w:t>
            </w:r>
            <w:r>
              <w:rPr>
                <w:sz w:val="24"/>
              </w:rPr>
              <w:t>9</w:t>
            </w:r>
            <w:r>
              <w:rPr>
                <w:rFonts w:hint="eastAsia"/>
                <w:sz w:val="24"/>
              </w:rPr>
              <w:t>6</w:t>
            </w:r>
            <w:r>
              <w:rPr>
                <w:sz w:val="24"/>
              </w:rPr>
              <w:t>%</w:t>
            </w:r>
          </w:p>
        </w:tc>
        <w:tc>
          <w:tcPr>
            <w:tcW w:w="1701" w:type="dxa"/>
            <w:vAlign w:val="center"/>
          </w:tcPr>
          <w:p w:rsidR="000F7FAD" w:rsidRDefault="00BB4424">
            <w:pPr>
              <w:spacing w:line="300" w:lineRule="exact"/>
              <w:jc w:val="center"/>
              <w:rPr>
                <w:sz w:val="24"/>
              </w:rPr>
            </w:pPr>
            <w:r>
              <w:rPr>
                <w:rFonts w:hint="eastAsia"/>
                <w:sz w:val="24"/>
              </w:rPr>
              <w:t>100</w:t>
            </w:r>
            <w:r>
              <w:rPr>
                <w:sz w:val="24"/>
              </w:rPr>
              <w:t>%</w:t>
            </w:r>
          </w:p>
        </w:tc>
      </w:tr>
      <w:tr w:rsidR="000F7FAD">
        <w:trPr>
          <w:trHeight w:val="291"/>
          <w:jc w:val="center"/>
        </w:trPr>
        <w:tc>
          <w:tcPr>
            <w:tcW w:w="708" w:type="dxa"/>
            <w:vAlign w:val="center"/>
          </w:tcPr>
          <w:p w:rsidR="000F7FAD" w:rsidRDefault="00BB4424">
            <w:pPr>
              <w:spacing w:line="300" w:lineRule="exact"/>
              <w:jc w:val="center"/>
              <w:rPr>
                <w:rFonts w:eastAsia="黑体"/>
                <w:sz w:val="24"/>
              </w:rPr>
            </w:pPr>
            <w:r>
              <w:rPr>
                <w:rFonts w:eastAsia="黑体"/>
                <w:sz w:val="24"/>
              </w:rPr>
              <w:t>9</w:t>
            </w:r>
          </w:p>
        </w:tc>
        <w:tc>
          <w:tcPr>
            <w:tcW w:w="1014" w:type="dxa"/>
            <w:vAlign w:val="center"/>
          </w:tcPr>
          <w:p w:rsidR="000F7FAD" w:rsidRDefault="00BB4424">
            <w:pPr>
              <w:spacing w:line="300" w:lineRule="exact"/>
              <w:jc w:val="center"/>
              <w:rPr>
                <w:rFonts w:ascii="仿宋_GB2312"/>
                <w:sz w:val="24"/>
              </w:rPr>
            </w:pPr>
            <w:r>
              <w:rPr>
                <w:rFonts w:ascii="仿宋_GB2312" w:hAnsi="黑体" w:hint="eastAsia"/>
                <w:sz w:val="24"/>
              </w:rPr>
              <w:t>麻涌</w:t>
            </w:r>
          </w:p>
        </w:tc>
        <w:tc>
          <w:tcPr>
            <w:tcW w:w="1188" w:type="dxa"/>
            <w:vAlign w:val="center"/>
          </w:tcPr>
          <w:p w:rsidR="000F7FAD" w:rsidRDefault="00BB4424">
            <w:pPr>
              <w:spacing w:line="300" w:lineRule="exact"/>
              <w:jc w:val="center"/>
              <w:rPr>
                <w:sz w:val="24"/>
              </w:rPr>
            </w:pPr>
            <w:r>
              <w:rPr>
                <w:rFonts w:hint="eastAsia"/>
                <w:sz w:val="24"/>
              </w:rPr>
              <w:t>178768</w:t>
            </w:r>
          </w:p>
        </w:tc>
        <w:tc>
          <w:tcPr>
            <w:tcW w:w="1485" w:type="dxa"/>
            <w:vAlign w:val="center"/>
          </w:tcPr>
          <w:p w:rsidR="000F7FAD" w:rsidRDefault="00BB4424">
            <w:pPr>
              <w:spacing w:line="300" w:lineRule="exact"/>
              <w:jc w:val="center"/>
              <w:rPr>
                <w:rFonts w:eastAsia="宋体"/>
                <w:sz w:val="24"/>
              </w:rPr>
            </w:pPr>
            <w:r>
              <w:rPr>
                <w:sz w:val="24"/>
              </w:rPr>
              <w:t>90</w:t>
            </w:r>
          </w:p>
        </w:tc>
        <w:tc>
          <w:tcPr>
            <w:tcW w:w="1275" w:type="dxa"/>
            <w:vAlign w:val="center"/>
          </w:tcPr>
          <w:p w:rsidR="000F7FAD" w:rsidRDefault="00BB4424">
            <w:pPr>
              <w:spacing w:line="300" w:lineRule="exact"/>
              <w:jc w:val="center"/>
              <w:rPr>
                <w:rFonts w:eastAsia="宋体"/>
                <w:sz w:val="24"/>
              </w:rPr>
            </w:pPr>
            <w:r>
              <w:rPr>
                <w:sz w:val="24"/>
              </w:rPr>
              <w:t>759</w:t>
            </w:r>
          </w:p>
        </w:tc>
        <w:tc>
          <w:tcPr>
            <w:tcW w:w="1418" w:type="dxa"/>
            <w:vAlign w:val="center"/>
          </w:tcPr>
          <w:p w:rsidR="000F7FAD" w:rsidRDefault="00BB4424">
            <w:pPr>
              <w:spacing w:line="300" w:lineRule="exact"/>
              <w:jc w:val="center"/>
              <w:rPr>
                <w:sz w:val="24"/>
              </w:rPr>
            </w:pPr>
            <w:r>
              <w:rPr>
                <w:rFonts w:hint="eastAsia"/>
                <w:sz w:val="24"/>
              </w:rPr>
              <w:t>&gt;</w:t>
            </w:r>
            <w:r>
              <w:rPr>
                <w:sz w:val="24"/>
              </w:rPr>
              <w:t>7</w:t>
            </w:r>
            <w:r>
              <w:rPr>
                <w:rFonts w:hint="eastAsia"/>
                <w:sz w:val="24"/>
              </w:rPr>
              <w:t>8</w:t>
            </w:r>
            <w:r>
              <w:rPr>
                <w:sz w:val="24"/>
              </w:rPr>
              <w:t>%</w:t>
            </w:r>
          </w:p>
        </w:tc>
        <w:tc>
          <w:tcPr>
            <w:tcW w:w="1417" w:type="dxa"/>
            <w:vAlign w:val="center"/>
          </w:tcPr>
          <w:p w:rsidR="000F7FAD" w:rsidRDefault="00BB4424">
            <w:pPr>
              <w:spacing w:line="300" w:lineRule="exact"/>
              <w:jc w:val="center"/>
              <w:rPr>
                <w:sz w:val="24"/>
              </w:rPr>
            </w:pPr>
            <w:r>
              <w:rPr>
                <w:rFonts w:hint="eastAsia"/>
                <w:sz w:val="24"/>
              </w:rPr>
              <w:t>&gt;</w:t>
            </w:r>
            <w:r>
              <w:rPr>
                <w:sz w:val="24"/>
              </w:rPr>
              <w:t>9</w:t>
            </w:r>
            <w:r>
              <w:rPr>
                <w:rFonts w:hint="eastAsia"/>
                <w:sz w:val="24"/>
              </w:rPr>
              <w:t>6</w:t>
            </w:r>
            <w:r>
              <w:rPr>
                <w:sz w:val="24"/>
              </w:rPr>
              <w:t>%</w:t>
            </w:r>
          </w:p>
        </w:tc>
        <w:tc>
          <w:tcPr>
            <w:tcW w:w="1701" w:type="dxa"/>
            <w:vAlign w:val="center"/>
          </w:tcPr>
          <w:p w:rsidR="000F7FAD" w:rsidRDefault="00BB4424">
            <w:pPr>
              <w:spacing w:line="300" w:lineRule="exact"/>
              <w:jc w:val="center"/>
              <w:rPr>
                <w:sz w:val="24"/>
              </w:rPr>
            </w:pPr>
            <w:r>
              <w:rPr>
                <w:rFonts w:hint="eastAsia"/>
                <w:sz w:val="24"/>
              </w:rPr>
              <w:t>100</w:t>
            </w:r>
            <w:r>
              <w:rPr>
                <w:sz w:val="24"/>
              </w:rPr>
              <w:t>%</w:t>
            </w:r>
          </w:p>
        </w:tc>
      </w:tr>
      <w:tr w:rsidR="000F7FAD">
        <w:trPr>
          <w:trHeight w:val="276"/>
          <w:jc w:val="center"/>
        </w:trPr>
        <w:tc>
          <w:tcPr>
            <w:tcW w:w="708" w:type="dxa"/>
            <w:vAlign w:val="center"/>
          </w:tcPr>
          <w:p w:rsidR="000F7FAD" w:rsidRDefault="00BB4424">
            <w:pPr>
              <w:spacing w:line="300" w:lineRule="exact"/>
              <w:jc w:val="center"/>
              <w:rPr>
                <w:rFonts w:eastAsia="黑体"/>
                <w:sz w:val="24"/>
              </w:rPr>
            </w:pPr>
            <w:r>
              <w:rPr>
                <w:rFonts w:eastAsia="黑体"/>
                <w:sz w:val="24"/>
              </w:rPr>
              <w:t>10</w:t>
            </w:r>
          </w:p>
        </w:tc>
        <w:tc>
          <w:tcPr>
            <w:tcW w:w="1014" w:type="dxa"/>
            <w:vAlign w:val="center"/>
          </w:tcPr>
          <w:p w:rsidR="000F7FAD" w:rsidRDefault="00BB4424">
            <w:pPr>
              <w:spacing w:line="300" w:lineRule="exact"/>
              <w:jc w:val="center"/>
              <w:rPr>
                <w:rFonts w:ascii="仿宋_GB2312"/>
                <w:sz w:val="24"/>
              </w:rPr>
            </w:pPr>
            <w:r>
              <w:rPr>
                <w:rFonts w:ascii="仿宋_GB2312" w:hAnsi="黑体" w:hint="eastAsia"/>
                <w:sz w:val="24"/>
              </w:rPr>
              <w:t>石碣</w:t>
            </w:r>
          </w:p>
        </w:tc>
        <w:tc>
          <w:tcPr>
            <w:tcW w:w="1188" w:type="dxa"/>
            <w:vAlign w:val="center"/>
          </w:tcPr>
          <w:p w:rsidR="000F7FAD" w:rsidRDefault="00BB4424">
            <w:pPr>
              <w:spacing w:line="300" w:lineRule="exact"/>
              <w:jc w:val="center"/>
              <w:rPr>
                <w:sz w:val="24"/>
              </w:rPr>
            </w:pPr>
            <w:r>
              <w:rPr>
                <w:rFonts w:hint="eastAsia"/>
                <w:sz w:val="24"/>
              </w:rPr>
              <w:t>276610</w:t>
            </w:r>
          </w:p>
        </w:tc>
        <w:tc>
          <w:tcPr>
            <w:tcW w:w="1485" w:type="dxa"/>
            <w:vAlign w:val="center"/>
          </w:tcPr>
          <w:p w:rsidR="000F7FAD" w:rsidRDefault="00BB4424">
            <w:pPr>
              <w:spacing w:line="300" w:lineRule="exact"/>
              <w:jc w:val="center"/>
              <w:rPr>
                <w:rFonts w:eastAsia="宋体"/>
                <w:sz w:val="24"/>
              </w:rPr>
            </w:pPr>
            <w:r>
              <w:rPr>
                <w:sz w:val="24"/>
              </w:rPr>
              <w:t>176</w:t>
            </w:r>
          </w:p>
        </w:tc>
        <w:tc>
          <w:tcPr>
            <w:tcW w:w="1275" w:type="dxa"/>
            <w:vAlign w:val="center"/>
          </w:tcPr>
          <w:p w:rsidR="000F7FAD" w:rsidRDefault="00BB4424">
            <w:pPr>
              <w:spacing w:line="300" w:lineRule="exact"/>
              <w:jc w:val="center"/>
              <w:rPr>
                <w:rFonts w:eastAsia="宋体"/>
                <w:sz w:val="24"/>
              </w:rPr>
            </w:pPr>
            <w:r>
              <w:rPr>
                <w:sz w:val="24"/>
              </w:rPr>
              <w:t>1485</w:t>
            </w:r>
          </w:p>
        </w:tc>
        <w:tc>
          <w:tcPr>
            <w:tcW w:w="1418" w:type="dxa"/>
            <w:vAlign w:val="center"/>
          </w:tcPr>
          <w:p w:rsidR="000F7FAD" w:rsidRDefault="00BB4424">
            <w:pPr>
              <w:spacing w:line="300" w:lineRule="exact"/>
              <w:jc w:val="center"/>
              <w:rPr>
                <w:sz w:val="24"/>
              </w:rPr>
            </w:pPr>
            <w:r>
              <w:rPr>
                <w:rFonts w:hint="eastAsia"/>
                <w:sz w:val="24"/>
              </w:rPr>
              <w:t>&gt;</w:t>
            </w:r>
            <w:r>
              <w:rPr>
                <w:sz w:val="24"/>
              </w:rPr>
              <w:t>7</w:t>
            </w:r>
            <w:r>
              <w:rPr>
                <w:rFonts w:hint="eastAsia"/>
                <w:sz w:val="24"/>
              </w:rPr>
              <w:t>8</w:t>
            </w:r>
            <w:r>
              <w:rPr>
                <w:sz w:val="24"/>
              </w:rPr>
              <w:t>%</w:t>
            </w:r>
          </w:p>
        </w:tc>
        <w:tc>
          <w:tcPr>
            <w:tcW w:w="1417" w:type="dxa"/>
            <w:vAlign w:val="center"/>
          </w:tcPr>
          <w:p w:rsidR="000F7FAD" w:rsidRDefault="00BB4424">
            <w:pPr>
              <w:spacing w:line="300" w:lineRule="exact"/>
              <w:jc w:val="center"/>
              <w:rPr>
                <w:sz w:val="24"/>
              </w:rPr>
            </w:pPr>
            <w:r>
              <w:rPr>
                <w:rFonts w:hint="eastAsia"/>
                <w:sz w:val="24"/>
              </w:rPr>
              <w:t>&gt;</w:t>
            </w:r>
            <w:r>
              <w:rPr>
                <w:sz w:val="24"/>
              </w:rPr>
              <w:t>9</w:t>
            </w:r>
            <w:r>
              <w:rPr>
                <w:rFonts w:hint="eastAsia"/>
                <w:sz w:val="24"/>
              </w:rPr>
              <w:t>6</w:t>
            </w:r>
            <w:r>
              <w:rPr>
                <w:sz w:val="24"/>
              </w:rPr>
              <w:t>%</w:t>
            </w:r>
          </w:p>
        </w:tc>
        <w:tc>
          <w:tcPr>
            <w:tcW w:w="1701" w:type="dxa"/>
            <w:vAlign w:val="center"/>
          </w:tcPr>
          <w:p w:rsidR="000F7FAD" w:rsidRDefault="00BB4424">
            <w:pPr>
              <w:spacing w:line="300" w:lineRule="exact"/>
              <w:jc w:val="center"/>
              <w:rPr>
                <w:sz w:val="24"/>
              </w:rPr>
            </w:pPr>
            <w:r>
              <w:rPr>
                <w:rFonts w:hint="eastAsia"/>
                <w:sz w:val="24"/>
              </w:rPr>
              <w:t>100</w:t>
            </w:r>
            <w:r>
              <w:rPr>
                <w:sz w:val="24"/>
              </w:rPr>
              <w:t>%</w:t>
            </w:r>
          </w:p>
        </w:tc>
      </w:tr>
      <w:tr w:rsidR="000F7FAD">
        <w:trPr>
          <w:trHeight w:val="276"/>
          <w:jc w:val="center"/>
        </w:trPr>
        <w:tc>
          <w:tcPr>
            <w:tcW w:w="708" w:type="dxa"/>
            <w:vAlign w:val="center"/>
          </w:tcPr>
          <w:p w:rsidR="000F7FAD" w:rsidRDefault="00BB4424">
            <w:pPr>
              <w:spacing w:line="300" w:lineRule="exact"/>
              <w:jc w:val="center"/>
              <w:rPr>
                <w:rFonts w:eastAsia="黑体"/>
                <w:sz w:val="24"/>
              </w:rPr>
            </w:pPr>
            <w:r>
              <w:rPr>
                <w:rFonts w:eastAsia="黑体"/>
                <w:sz w:val="24"/>
              </w:rPr>
              <w:t>11</w:t>
            </w:r>
          </w:p>
        </w:tc>
        <w:tc>
          <w:tcPr>
            <w:tcW w:w="1014" w:type="dxa"/>
            <w:vAlign w:val="center"/>
          </w:tcPr>
          <w:p w:rsidR="000F7FAD" w:rsidRDefault="00BB4424">
            <w:pPr>
              <w:spacing w:line="300" w:lineRule="exact"/>
              <w:jc w:val="center"/>
              <w:rPr>
                <w:rFonts w:ascii="仿宋_GB2312"/>
                <w:sz w:val="24"/>
              </w:rPr>
            </w:pPr>
            <w:r>
              <w:rPr>
                <w:rFonts w:ascii="仿宋_GB2312" w:hAnsi="黑体" w:hint="eastAsia"/>
                <w:sz w:val="24"/>
              </w:rPr>
              <w:t>高</w:t>
            </w:r>
            <w:r>
              <w:rPr>
                <w:rFonts w:ascii="仿宋_GB2312" w:eastAsia="黑体" w:hAnsi="黑体" w:hint="eastAsia"/>
                <w:sz w:val="24"/>
              </w:rPr>
              <w:t>埗</w:t>
            </w:r>
          </w:p>
        </w:tc>
        <w:tc>
          <w:tcPr>
            <w:tcW w:w="1188" w:type="dxa"/>
            <w:vAlign w:val="center"/>
          </w:tcPr>
          <w:p w:rsidR="000F7FAD" w:rsidRDefault="00BB4424">
            <w:pPr>
              <w:spacing w:line="300" w:lineRule="exact"/>
              <w:jc w:val="center"/>
              <w:rPr>
                <w:sz w:val="24"/>
              </w:rPr>
            </w:pPr>
            <w:r>
              <w:rPr>
                <w:rFonts w:hint="eastAsia"/>
                <w:sz w:val="24"/>
              </w:rPr>
              <w:t>166525</w:t>
            </w:r>
          </w:p>
        </w:tc>
        <w:tc>
          <w:tcPr>
            <w:tcW w:w="1485" w:type="dxa"/>
            <w:vAlign w:val="center"/>
          </w:tcPr>
          <w:p w:rsidR="000F7FAD" w:rsidRDefault="00BB4424">
            <w:pPr>
              <w:spacing w:line="300" w:lineRule="exact"/>
              <w:jc w:val="center"/>
              <w:rPr>
                <w:rFonts w:eastAsia="宋体"/>
                <w:sz w:val="24"/>
              </w:rPr>
            </w:pPr>
            <w:r>
              <w:rPr>
                <w:sz w:val="24"/>
              </w:rPr>
              <w:t>133</w:t>
            </w:r>
          </w:p>
        </w:tc>
        <w:tc>
          <w:tcPr>
            <w:tcW w:w="1275" w:type="dxa"/>
            <w:vAlign w:val="center"/>
          </w:tcPr>
          <w:p w:rsidR="000F7FAD" w:rsidRDefault="00BB4424">
            <w:pPr>
              <w:spacing w:line="300" w:lineRule="exact"/>
              <w:jc w:val="center"/>
              <w:rPr>
                <w:rFonts w:eastAsia="宋体"/>
                <w:sz w:val="24"/>
              </w:rPr>
            </w:pPr>
            <w:r>
              <w:rPr>
                <w:sz w:val="24"/>
              </w:rPr>
              <w:t>1121</w:t>
            </w:r>
          </w:p>
        </w:tc>
        <w:tc>
          <w:tcPr>
            <w:tcW w:w="1418" w:type="dxa"/>
            <w:vAlign w:val="center"/>
          </w:tcPr>
          <w:p w:rsidR="000F7FAD" w:rsidRDefault="00BB4424">
            <w:pPr>
              <w:spacing w:line="300" w:lineRule="exact"/>
              <w:jc w:val="center"/>
              <w:rPr>
                <w:sz w:val="24"/>
              </w:rPr>
            </w:pPr>
            <w:r>
              <w:rPr>
                <w:rFonts w:hint="eastAsia"/>
                <w:sz w:val="24"/>
              </w:rPr>
              <w:t>&gt;</w:t>
            </w:r>
            <w:r>
              <w:rPr>
                <w:sz w:val="24"/>
              </w:rPr>
              <w:t>7</w:t>
            </w:r>
            <w:r>
              <w:rPr>
                <w:rFonts w:hint="eastAsia"/>
                <w:sz w:val="24"/>
              </w:rPr>
              <w:t>8</w:t>
            </w:r>
            <w:r>
              <w:rPr>
                <w:sz w:val="24"/>
              </w:rPr>
              <w:t>%</w:t>
            </w:r>
          </w:p>
        </w:tc>
        <w:tc>
          <w:tcPr>
            <w:tcW w:w="1417" w:type="dxa"/>
            <w:vAlign w:val="center"/>
          </w:tcPr>
          <w:p w:rsidR="000F7FAD" w:rsidRDefault="00BB4424">
            <w:pPr>
              <w:spacing w:line="300" w:lineRule="exact"/>
              <w:jc w:val="center"/>
              <w:rPr>
                <w:sz w:val="24"/>
              </w:rPr>
            </w:pPr>
            <w:r>
              <w:rPr>
                <w:rFonts w:hint="eastAsia"/>
                <w:sz w:val="24"/>
              </w:rPr>
              <w:t>&gt;</w:t>
            </w:r>
            <w:r>
              <w:rPr>
                <w:sz w:val="24"/>
              </w:rPr>
              <w:t>9</w:t>
            </w:r>
            <w:r>
              <w:rPr>
                <w:rFonts w:hint="eastAsia"/>
                <w:sz w:val="24"/>
              </w:rPr>
              <w:t>6</w:t>
            </w:r>
            <w:r>
              <w:rPr>
                <w:sz w:val="24"/>
              </w:rPr>
              <w:t>%</w:t>
            </w:r>
          </w:p>
        </w:tc>
        <w:tc>
          <w:tcPr>
            <w:tcW w:w="1701" w:type="dxa"/>
            <w:vAlign w:val="center"/>
          </w:tcPr>
          <w:p w:rsidR="000F7FAD" w:rsidRDefault="00BB4424">
            <w:pPr>
              <w:spacing w:line="300" w:lineRule="exact"/>
              <w:jc w:val="center"/>
              <w:rPr>
                <w:sz w:val="24"/>
              </w:rPr>
            </w:pPr>
            <w:r>
              <w:rPr>
                <w:rFonts w:hint="eastAsia"/>
                <w:sz w:val="24"/>
              </w:rPr>
              <w:t>100</w:t>
            </w:r>
            <w:r>
              <w:rPr>
                <w:sz w:val="24"/>
              </w:rPr>
              <w:t>%</w:t>
            </w:r>
          </w:p>
        </w:tc>
      </w:tr>
      <w:tr w:rsidR="000F7FAD">
        <w:trPr>
          <w:trHeight w:val="276"/>
          <w:jc w:val="center"/>
        </w:trPr>
        <w:tc>
          <w:tcPr>
            <w:tcW w:w="708" w:type="dxa"/>
            <w:vAlign w:val="center"/>
          </w:tcPr>
          <w:p w:rsidR="000F7FAD" w:rsidRDefault="00BB4424">
            <w:pPr>
              <w:spacing w:line="300" w:lineRule="exact"/>
              <w:jc w:val="center"/>
              <w:rPr>
                <w:rFonts w:eastAsia="黑体"/>
                <w:sz w:val="24"/>
              </w:rPr>
            </w:pPr>
            <w:r>
              <w:rPr>
                <w:rFonts w:eastAsia="黑体"/>
                <w:sz w:val="24"/>
              </w:rPr>
              <w:t>12</w:t>
            </w:r>
          </w:p>
        </w:tc>
        <w:tc>
          <w:tcPr>
            <w:tcW w:w="1014" w:type="dxa"/>
            <w:vAlign w:val="center"/>
          </w:tcPr>
          <w:p w:rsidR="000F7FAD" w:rsidRDefault="00BB4424">
            <w:pPr>
              <w:spacing w:line="300" w:lineRule="exact"/>
              <w:jc w:val="center"/>
              <w:rPr>
                <w:rFonts w:ascii="仿宋_GB2312"/>
                <w:sz w:val="24"/>
              </w:rPr>
            </w:pPr>
            <w:r>
              <w:rPr>
                <w:rFonts w:ascii="仿宋_GB2312" w:hAnsi="黑体" w:hint="eastAsia"/>
                <w:sz w:val="24"/>
              </w:rPr>
              <w:t>洪梅</w:t>
            </w:r>
          </w:p>
        </w:tc>
        <w:tc>
          <w:tcPr>
            <w:tcW w:w="1188" w:type="dxa"/>
            <w:vAlign w:val="center"/>
          </w:tcPr>
          <w:p w:rsidR="000F7FAD" w:rsidRDefault="00BB4424">
            <w:pPr>
              <w:spacing w:line="300" w:lineRule="exact"/>
              <w:jc w:val="center"/>
              <w:rPr>
                <w:sz w:val="24"/>
              </w:rPr>
            </w:pPr>
            <w:r>
              <w:rPr>
                <w:rFonts w:hint="eastAsia"/>
                <w:sz w:val="24"/>
              </w:rPr>
              <w:t>64019</w:t>
            </w:r>
          </w:p>
        </w:tc>
        <w:tc>
          <w:tcPr>
            <w:tcW w:w="1485" w:type="dxa"/>
            <w:vAlign w:val="center"/>
          </w:tcPr>
          <w:p w:rsidR="000F7FAD" w:rsidRDefault="00BB4424">
            <w:pPr>
              <w:spacing w:line="300" w:lineRule="exact"/>
              <w:jc w:val="center"/>
              <w:rPr>
                <w:rFonts w:eastAsia="宋体"/>
                <w:sz w:val="24"/>
              </w:rPr>
            </w:pPr>
            <w:r>
              <w:rPr>
                <w:sz w:val="24"/>
              </w:rPr>
              <w:t>40</w:t>
            </w:r>
          </w:p>
        </w:tc>
        <w:tc>
          <w:tcPr>
            <w:tcW w:w="1275" w:type="dxa"/>
            <w:vAlign w:val="center"/>
          </w:tcPr>
          <w:p w:rsidR="000F7FAD" w:rsidRDefault="00BB4424">
            <w:pPr>
              <w:spacing w:line="300" w:lineRule="exact"/>
              <w:jc w:val="center"/>
              <w:rPr>
                <w:rFonts w:eastAsia="宋体"/>
                <w:sz w:val="24"/>
              </w:rPr>
            </w:pPr>
            <w:r>
              <w:rPr>
                <w:sz w:val="24"/>
              </w:rPr>
              <w:t>334</w:t>
            </w:r>
          </w:p>
        </w:tc>
        <w:tc>
          <w:tcPr>
            <w:tcW w:w="1418" w:type="dxa"/>
            <w:vAlign w:val="center"/>
          </w:tcPr>
          <w:p w:rsidR="000F7FAD" w:rsidRDefault="00BB4424">
            <w:pPr>
              <w:spacing w:line="300" w:lineRule="exact"/>
              <w:jc w:val="center"/>
              <w:rPr>
                <w:sz w:val="24"/>
              </w:rPr>
            </w:pPr>
            <w:r>
              <w:rPr>
                <w:rFonts w:hint="eastAsia"/>
                <w:sz w:val="24"/>
              </w:rPr>
              <w:t>&gt;</w:t>
            </w:r>
            <w:r>
              <w:rPr>
                <w:sz w:val="24"/>
              </w:rPr>
              <w:t>7</w:t>
            </w:r>
            <w:r>
              <w:rPr>
                <w:rFonts w:hint="eastAsia"/>
                <w:sz w:val="24"/>
              </w:rPr>
              <w:t>8</w:t>
            </w:r>
            <w:r>
              <w:rPr>
                <w:sz w:val="24"/>
              </w:rPr>
              <w:t>%</w:t>
            </w:r>
          </w:p>
        </w:tc>
        <w:tc>
          <w:tcPr>
            <w:tcW w:w="1417" w:type="dxa"/>
            <w:vAlign w:val="center"/>
          </w:tcPr>
          <w:p w:rsidR="000F7FAD" w:rsidRDefault="00BB4424">
            <w:pPr>
              <w:spacing w:line="300" w:lineRule="exact"/>
              <w:jc w:val="center"/>
              <w:rPr>
                <w:sz w:val="24"/>
              </w:rPr>
            </w:pPr>
            <w:r>
              <w:rPr>
                <w:rFonts w:hint="eastAsia"/>
                <w:sz w:val="24"/>
              </w:rPr>
              <w:t>&gt;</w:t>
            </w:r>
            <w:r>
              <w:rPr>
                <w:sz w:val="24"/>
              </w:rPr>
              <w:t>9</w:t>
            </w:r>
            <w:r>
              <w:rPr>
                <w:rFonts w:hint="eastAsia"/>
                <w:sz w:val="24"/>
              </w:rPr>
              <w:t>6</w:t>
            </w:r>
            <w:r>
              <w:rPr>
                <w:sz w:val="24"/>
              </w:rPr>
              <w:t>%</w:t>
            </w:r>
          </w:p>
        </w:tc>
        <w:tc>
          <w:tcPr>
            <w:tcW w:w="1701" w:type="dxa"/>
            <w:vAlign w:val="center"/>
          </w:tcPr>
          <w:p w:rsidR="000F7FAD" w:rsidRDefault="00BB4424">
            <w:pPr>
              <w:spacing w:line="300" w:lineRule="exact"/>
              <w:jc w:val="center"/>
              <w:rPr>
                <w:sz w:val="24"/>
              </w:rPr>
            </w:pPr>
            <w:r>
              <w:rPr>
                <w:rFonts w:hint="eastAsia"/>
                <w:sz w:val="24"/>
              </w:rPr>
              <w:t>100</w:t>
            </w:r>
            <w:r>
              <w:rPr>
                <w:sz w:val="24"/>
              </w:rPr>
              <w:t>%</w:t>
            </w:r>
          </w:p>
        </w:tc>
      </w:tr>
      <w:tr w:rsidR="000F7FAD">
        <w:trPr>
          <w:trHeight w:val="276"/>
          <w:jc w:val="center"/>
        </w:trPr>
        <w:tc>
          <w:tcPr>
            <w:tcW w:w="708" w:type="dxa"/>
            <w:vAlign w:val="center"/>
          </w:tcPr>
          <w:p w:rsidR="000F7FAD" w:rsidRDefault="00BB4424">
            <w:pPr>
              <w:spacing w:line="300" w:lineRule="exact"/>
              <w:jc w:val="center"/>
              <w:rPr>
                <w:rFonts w:eastAsia="黑体"/>
                <w:sz w:val="24"/>
              </w:rPr>
            </w:pPr>
            <w:r>
              <w:rPr>
                <w:rFonts w:eastAsia="黑体"/>
                <w:sz w:val="24"/>
              </w:rPr>
              <w:t>13</w:t>
            </w:r>
          </w:p>
        </w:tc>
        <w:tc>
          <w:tcPr>
            <w:tcW w:w="1014" w:type="dxa"/>
            <w:vAlign w:val="center"/>
          </w:tcPr>
          <w:p w:rsidR="000F7FAD" w:rsidRDefault="00BB4424">
            <w:pPr>
              <w:spacing w:line="300" w:lineRule="exact"/>
              <w:jc w:val="center"/>
              <w:rPr>
                <w:rFonts w:ascii="仿宋_GB2312"/>
                <w:sz w:val="24"/>
              </w:rPr>
            </w:pPr>
            <w:r>
              <w:rPr>
                <w:rFonts w:ascii="仿宋_GB2312" w:hAnsi="黑体" w:hint="eastAsia"/>
                <w:sz w:val="24"/>
              </w:rPr>
              <w:t>道</w:t>
            </w:r>
            <w:r>
              <w:rPr>
                <w:rFonts w:ascii="仿宋_GB2312" w:eastAsia="黑体" w:hAnsi="黑体" w:hint="eastAsia"/>
                <w:sz w:val="24"/>
              </w:rPr>
              <w:t>滘</w:t>
            </w:r>
          </w:p>
        </w:tc>
        <w:tc>
          <w:tcPr>
            <w:tcW w:w="1188" w:type="dxa"/>
            <w:vAlign w:val="center"/>
          </w:tcPr>
          <w:p w:rsidR="000F7FAD" w:rsidRDefault="00BB4424">
            <w:pPr>
              <w:spacing w:line="300" w:lineRule="exact"/>
              <w:jc w:val="center"/>
              <w:rPr>
                <w:sz w:val="24"/>
              </w:rPr>
            </w:pPr>
            <w:r>
              <w:rPr>
                <w:rFonts w:hint="eastAsia"/>
                <w:sz w:val="24"/>
              </w:rPr>
              <w:t>156312</w:t>
            </w:r>
          </w:p>
        </w:tc>
        <w:tc>
          <w:tcPr>
            <w:tcW w:w="1485" w:type="dxa"/>
            <w:vAlign w:val="center"/>
          </w:tcPr>
          <w:p w:rsidR="000F7FAD" w:rsidRDefault="00BB4424">
            <w:pPr>
              <w:spacing w:line="300" w:lineRule="exact"/>
              <w:jc w:val="center"/>
              <w:rPr>
                <w:rFonts w:eastAsia="宋体"/>
                <w:sz w:val="24"/>
              </w:rPr>
            </w:pPr>
            <w:r>
              <w:rPr>
                <w:sz w:val="24"/>
              </w:rPr>
              <w:t>85</w:t>
            </w:r>
          </w:p>
        </w:tc>
        <w:tc>
          <w:tcPr>
            <w:tcW w:w="1275" w:type="dxa"/>
            <w:vAlign w:val="center"/>
          </w:tcPr>
          <w:p w:rsidR="000F7FAD" w:rsidRDefault="00BB4424">
            <w:pPr>
              <w:spacing w:line="300" w:lineRule="exact"/>
              <w:jc w:val="center"/>
              <w:rPr>
                <w:rFonts w:eastAsia="宋体"/>
                <w:sz w:val="24"/>
              </w:rPr>
            </w:pPr>
            <w:r>
              <w:rPr>
                <w:sz w:val="24"/>
              </w:rPr>
              <w:t>720</w:t>
            </w:r>
          </w:p>
        </w:tc>
        <w:tc>
          <w:tcPr>
            <w:tcW w:w="1418" w:type="dxa"/>
            <w:vAlign w:val="center"/>
          </w:tcPr>
          <w:p w:rsidR="000F7FAD" w:rsidRDefault="00BB4424">
            <w:pPr>
              <w:spacing w:line="300" w:lineRule="exact"/>
              <w:jc w:val="center"/>
              <w:rPr>
                <w:sz w:val="24"/>
              </w:rPr>
            </w:pPr>
            <w:r>
              <w:rPr>
                <w:rFonts w:hint="eastAsia"/>
                <w:sz w:val="24"/>
              </w:rPr>
              <w:t>&gt;</w:t>
            </w:r>
            <w:r>
              <w:rPr>
                <w:sz w:val="24"/>
              </w:rPr>
              <w:t>7</w:t>
            </w:r>
            <w:r>
              <w:rPr>
                <w:rFonts w:hint="eastAsia"/>
                <w:sz w:val="24"/>
              </w:rPr>
              <w:t>8</w:t>
            </w:r>
            <w:r>
              <w:rPr>
                <w:sz w:val="24"/>
              </w:rPr>
              <w:t>%</w:t>
            </w:r>
          </w:p>
        </w:tc>
        <w:tc>
          <w:tcPr>
            <w:tcW w:w="1417" w:type="dxa"/>
            <w:vAlign w:val="center"/>
          </w:tcPr>
          <w:p w:rsidR="000F7FAD" w:rsidRDefault="00BB4424">
            <w:pPr>
              <w:spacing w:line="300" w:lineRule="exact"/>
              <w:jc w:val="center"/>
              <w:rPr>
                <w:sz w:val="24"/>
              </w:rPr>
            </w:pPr>
            <w:r>
              <w:rPr>
                <w:rFonts w:hint="eastAsia"/>
                <w:sz w:val="24"/>
              </w:rPr>
              <w:t>&gt;</w:t>
            </w:r>
            <w:r>
              <w:rPr>
                <w:sz w:val="24"/>
              </w:rPr>
              <w:t>9</w:t>
            </w:r>
            <w:r>
              <w:rPr>
                <w:rFonts w:hint="eastAsia"/>
                <w:sz w:val="24"/>
              </w:rPr>
              <w:t>6</w:t>
            </w:r>
            <w:r>
              <w:rPr>
                <w:sz w:val="24"/>
              </w:rPr>
              <w:t>%</w:t>
            </w:r>
          </w:p>
        </w:tc>
        <w:tc>
          <w:tcPr>
            <w:tcW w:w="1701" w:type="dxa"/>
            <w:vAlign w:val="center"/>
          </w:tcPr>
          <w:p w:rsidR="000F7FAD" w:rsidRDefault="00BB4424">
            <w:pPr>
              <w:spacing w:line="300" w:lineRule="exact"/>
              <w:jc w:val="center"/>
              <w:rPr>
                <w:sz w:val="24"/>
              </w:rPr>
            </w:pPr>
            <w:r>
              <w:rPr>
                <w:rFonts w:hint="eastAsia"/>
                <w:sz w:val="24"/>
              </w:rPr>
              <w:t>100</w:t>
            </w:r>
            <w:r>
              <w:rPr>
                <w:sz w:val="24"/>
              </w:rPr>
              <w:t>%</w:t>
            </w:r>
          </w:p>
        </w:tc>
      </w:tr>
      <w:tr w:rsidR="000F7FAD">
        <w:trPr>
          <w:trHeight w:val="291"/>
          <w:jc w:val="center"/>
        </w:trPr>
        <w:tc>
          <w:tcPr>
            <w:tcW w:w="708" w:type="dxa"/>
            <w:vAlign w:val="center"/>
          </w:tcPr>
          <w:p w:rsidR="000F7FAD" w:rsidRDefault="00BB4424">
            <w:pPr>
              <w:spacing w:line="300" w:lineRule="exact"/>
              <w:jc w:val="center"/>
              <w:rPr>
                <w:rFonts w:eastAsia="黑体"/>
                <w:sz w:val="24"/>
              </w:rPr>
            </w:pPr>
            <w:r>
              <w:rPr>
                <w:rFonts w:eastAsia="黑体"/>
                <w:sz w:val="24"/>
              </w:rPr>
              <w:t>14</w:t>
            </w:r>
          </w:p>
        </w:tc>
        <w:tc>
          <w:tcPr>
            <w:tcW w:w="1014" w:type="dxa"/>
            <w:vAlign w:val="center"/>
          </w:tcPr>
          <w:p w:rsidR="000F7FAD" w:rsidRDefault="00BB4424">
            <w:pPr>
              <w:spacing w:line="300" w:lineRule="exact"/>
              <w:jc w:val="center"/>
              <w:rPr>
                <w:rFonts w:ascii="仿宋_GB2312"/>
                <w:sz w:val="24"/>
              </w:rPr>
            </w:pPr>
            <w:r>
              <w:rPr>
                <w:rFonts w:ascii="仿宋_GB2312" w:hAnsi="黑体" w:hint="eastAsia"/>
                <w:sz w:val="24"/>
              </w:rPr>
              <w:t>厚街</w:t>
            </w:r>
          </w:p>
        </w:tc>
        <w:tc>
          <w:tcPr>
            <w:tcW w:w="1188" w:type="dxa"/>
            <w:vAlign w:val="center"/>
          </w:tcPr>
          <w:p w:rsidR="000F7FAD" w:rsidRDefault="00BB4424">
            <w:pPr>
              <w:spacing w:line="300" w:lineRule="exact"/>
              <w:jc w:val="center"/>
              <w:rPr>
                <w:sz w:val="24"/>
              </w:rPr>
            </w:pPr>
            <w:r>
              <w:rPr>
                <w:rFonts w:hint="eastAsia"/>
                <w:sz w:val="24"/>
              </w:rPr>
              <w:t>539791</w:t>
            </w:r>
          </w:p>
        </w:tc>
        <w:tc>
          <w:tcPr>
            <w:tcW w:w="1485" w:type="dxa"/>
            <w:vAlign w:val="center"/>
          </w:tcPr>
          <w:p w:rsidR="000F7FAD" w:rsidRDefault="00BB4424">
            <w:pPr>
              <w:spacing w:line="300" w:lineRule="exact"/>
              <w:jc w:val="center"/>
              <w:rPr>
                <w:rFonts w:eastAsia="宋体"/>
                <w:sz w:val="24"/>
              </w:rPr>
            </w:pPr>
            <w:r>
              <w:rPr>
                <w:sz w:val="24"/>
              </w:rPr>
              <w:t>387</w:t>
            </w:r>
          </w:p>
        </w:tc>
        <w:tc>
          <w:tcPr>
            <w:tcW w:w="1275" w:type="dxa"/>
            <w:vAlign w:val="center"/>
          </w:tcPr>
          <w:p w:rsidR="000F7FAD" w:rsidRDefault="00BB4424">
            <w:pPr>
              <w:spacing w:line="300" w:lineRule="exact"/>
              <w:jc w:val="center"/>
              <w:rPr>
                <w:rFonts w:eastAsia="宋体"/>
                <w:sz w:val="24"/>
              </w:rPr>
            </w:pPr>
            <w:r>
              <w:rPr>
                <w:sz w:val="24"/>
              </w:rPr>
              <w:t>3261</w:t>
            </w:r>
          </w:p>
        </w:tc>
        <w:tc>
          <w:tcPr>
            <w:tcW w:w="1418" w:type="dxa"/>
            <w:vAlign w:val="center"/>
          </w:tcPr>
          <w:p w:rsidR="000F7FAD" w:rsidRDefault="00BB4424">
            <w:pPr>
              <w:spacing w:line="300" w:lineRule="exact"/>
              <w:jc w:val="center"/>
              <w:rPr>
                <w:sz w:val="24"/>
              </w:rPr>
            </w:pPr>
            <w:r>
              <w:rPr>
                <w:rFonts w:hint="eastAsia"/>
                <w:sz w:val="24"/>
              </w:rPr>
              <w:t>&gt;</w:t>
            </w:r>
            <w:r>
              <w:rPr>
                <w:sz w:val="24"/>
              </w:rPr>
              <w:t>7</w:t>
            </w:r>
            <w:r>
              <w:rPr>
                <w:rFonts w:hint="eastAsia"/>
                <w:sz w:val="24"/>
              </w:rPr>
              <w:t>8</w:t>
            </w:r>
            <w:r>
              <w:rPr>
                <w:sz w:val="24"/>
              </w:rPr>
              <w:t>%</w:t>
            </w:r>
          </w:p>
        </w:tc>
        <w:tc>
          <w:tcPr>
            <w:tcW w:w="1417" w:type="dxa"/>
            <w:vAlign w:val="center"/>
          </w:tcPr>
          <w:p w:rsidR="000F7FAD" w:rsidRDefault="00BB4424">
            <w:pPr>
              <w:spacing w:line="300" w:lineRule="exact"/>
              <w:jc w:val="center"/>
              <w:rPr>
                <w:sz w:val="24"/>
              </w:rPr>
            </w:pPr>
            <w:r>
              <w:rPr>
                <w:rFonts w:hint="eastAsia"/>
                <w:sz w:val="24"/>
              </w:rPr>
              <w:t>&gt;</w:t>
            </w:r>
            <w:r>
              <w:rPr>
                <w:sz w:val="24"/>
              </w:rPr>
              <w:t>9</w:t>
            </w:r>
            <w:r>
              <w:rPr>
                <w:rFonts w:hint="eastAsia"/>
                <w:sz w:val="24"/>
              </w:rPr>
              <w:t>6</w:t>
            </w:r>
            <w:r>
              <w:rPr>
                <w:sz w:val="24"/>
              </w:rPr>
              <w:t>%</w:t>
            </w:r>
          </w:p>
        </w:tc>
        <w:tc>
          <w:tcPr>
            <w:tcW w:w="1701" w:type="dxa"/>
            <w:vAlign w:val="center"/>
          </w:tcPr>
          <w:p w:rsidR="000F7FAD" w:rsidRDefault="00BB4424">
            <w:pPr>
              <w:spacing w:line="300" w:lineRule="exact"/>
              <w:jc w:val="center"/>
              <w:rPr>
                <w:sz w:val="24"/>
              </w:rPr>
            </w:pPr>
            <w:r>
              <w:rPr>
                <w:rFonts w:hint="eastAsia"/>
                <w:sz w:val="24"/>
              </w:rPr>
              <w:t>100</w:t>
            </w:r>
            <w:r>
              <w:rPr>
                <w:sz w:val="24"/>
              </w:rPr>
              <w:t>%</w:t>
            </w:r>
          </w:p>
        </w:tc>
      </w:tr>
      <w:tr w:rsidR="000F7FAD">
        <w:trPr>
          <w:trHeight w:val="276"/>
          <w:jc w:val="center"/>
        </w:trPr>
        <w:tc>
          <w:tcPr>
            <w:tcW w:w="708" w:type="dxa"/>
            <w:vAlign w:val="center"/>
          </w:tcPr>
          <w:p w:rsidR="000F7FAD" w:rsidRDefault="00BB4424">
            <w:pPr>
              <w:spacing w:line="300" w:lineRule="exact"/>
              <w:jc w:val="center"/>
              <w:rPr>
                <w:rFonts w:eastAsia="黑体"/>
                <w:sz w:val="24"/>
              </w:rPr>
            </w:pPr>
            <w:r>
              <w:rPr>
                <w:rFonts w:eastAsia="黑体"/>
                <w:sz w:val="24"/>
              </w:rPr>
              <w:t>15</w:t>
            </w:r>
          </w:p>
        </w:tc>
        <w:tc>
          <w:tcPr>
            <w:tcW w:w="1014" w:type="dxa"/>
            <w:vAlign w:val="center"/>
          </w:tcPr>
          <w:p w:rsidR="000F7FAD" w:rsidRDefault="00BB4424">
            <w:pPr>
              <w:spacing w:line="300" w:lineRule="exact"/>
              <w:jc w:val="center"/>
              <w:rPr>
                <w:rFonts w:ascii="仿宋_GB2312"/>
                <w:sz w:val="24"/>
              </w:rPr>
            </w:pPr>
            <w:r>
              <w:rPr>
                <w:rFonts w:ascii="仿宋_GB2312" w:hAnsi="黑体" w:hint="eastAsia"/>
                <w:sz w:val="24"/>
              </w:rPr>
              <w:t>沙田</w:t>
            </w:r>
          </w:p>
        </w:tc>
        <w:tc>
          <w:tcPr>
            <w:tcW w:w="1188" w:type="dxa"/>
            <w:vAlign w:val="center"/>
          </w:tcPr>
          <w:p w:rsidR="000F7FAD" w:rsidRDefault="00BB4424">
            <w:pPr>
              <w:spacing w:line="300" w:lineRule="exact"/>
              <w:jc w:val="center"/>
              <w:rPr>
                <w:sz w:val="24"/>
              </w:rPr>
            </w:pPr>
            <w:r>
              <w:rPr>
                <w:rFonts w:hint="eastAsia"/>
                <w:sz w:val="24"/>
              </w:rPr>
              <w:t>205972</w:t>
            </w:r>
          </w:p>
        </w:tc>
        <w:tc>
          <w:tcPr>
            <w:tcW w:w="1485" w:type="dxa"/>
            <w:vAlign w:val="center"/>
          </w:tcPr>
          <w:p w:rsidR="000F7FAD" w:rsidRDefault="00BB4424">
            <w:pPr>
              <w:spacing w:line="300" w:lineRule="exact"/>
              <w:jc w:val="center"/>
              <w:rPr>
                <w:rFonts w:eastAsia="宋体"/>
                <w:sz w:val="24"/>
              </w:rPr>
            </w:pPr>
            <w:r>
              <w:rPr>
                <w:sz w:val="24"/>
              </w:rPr>
              <w:t>122</w:t>
            </w:r>
          </w:p>
        </w:tc>
        <w:tc>
          <w:tcPr>
            <w:tcW w:w="1275" w:type="dxa"/>
            <w:vAlign w:val="center"/>
          </w:tcPr>
          <w:p w:rsidR="000F7FAD" w:rsidRDefault="00BB4424">
            <w:pPr>
              <w:spacing w:line="300" w:lineRule="exact"/>
              <w:jc w:val="center"/>
              <w:rPr>
                <w:rFonts w:eastAsia="宋体"/>
                <w:sz w:val="24"/>
              </w:rPr>
            </w:pPr>
            <w:r>
              <w:rPr>
                <w:sz w:val="24"/>
              </w:rPr>
              <w:t>1030</w:t>
            </w:r>
          </w:p>
        </w:tc>
        <w:tc>
          <w:tcPr>
            <w:tcW w:w="1418" w:type="dxa"/>
            <w:vAlign w:val="center"/>
          </w:tcPr>
          <w:p w:rsidR="000F7FAD" w:rsidRDefault="00BB4424">
            <w:pPr>
              <w:spacing w:line="300" w:lineRule="exact"/>
              <w:jc w:val="center"/>
              <w:rPr>
                <w:sz w:val="24"/>
              </w:rPr>
            </w:pPr>
            <w:r>
              <w:rPr>
                <w:rFonts w:hint="eastAsia"/>
                <w:sz w:val="24"/>
              </w:rPr>
              <w:t>&gt;</w:t>
            </w:r>
            <w:r>
              <w:rPr>
                <w:sz w:val="24"/>
              </w:rPr>
              <w:t>7</w:t>
            </w:r>
            <w:r>
              <w:rPr>
                <w:rFonts w:hint="eastAsia"/>
                <w:sz w:val="24"/>
              </w:rPr>
              <w:t>8</w:t>
            </w:r>
            <w:r>
              <w:rPr>
                <w:sz w:val="24"/>
              </w:rPr>
              <w:t>%</w:t>
            </w:r>
          </w:p>
        </w:tc>
        <w:tc>
          <w:tcPr>
            <w:tcW w:w="1417" w:type="dxa"/>
            <w:vAlign w:val="center"/>
          </w:tcPr>
          <w:p w:rsidR="000F7FAD" w:rsidRDefault="00BB4424">
            <w:pPr>
              <w:spacing w:line="300" w:lineRule="exact"/>
              <w:jc w:val="center"/>
              <w:rPr>
                <w:sz w:val="24"/>
              </w:rPr>
            </w:pPr>
            <w:r>
              <w:rPr>
                <w:rFonts w:hint="eastAsia"/>
                <w:sz w:val="24"/>
              </w:rPr>
              <w:t>&gt;</w:t>
            </w:r>
            <w:r>
              <w:rPr>
                <w:sz w:val="24"/>
              </w:rPr>
              <w:t>9</w:t>
            </w:r>
            <w:r>
              <w:rPr>
                <w:rFonts w:hint="eastAsia"/>
                <w:sz w:val="24"/>
              </w:rPr>
              <w:t>6</w:t>
            </w:r>
            <w:r>
              <w:rPr>
                <w:sz w:val="24"/>
              </w:rPr>
              <w:t>%</w:t>
            </w:r>
          </w:p>
        </w:tc>
        <w:tc>
          <w:tcPr>
            <w:tcW w:w="1701" w:type="dxa"/>
            <w:vAlign w:val="center"/>
          </w:tcPr>
          <w:p w:rsidR="000F7FAD" w:rsidRDefault="00BB4424">
            <w:pPr>
              <w:spacing w:line="300" w:lineRule="exact"/>
              <w:jc w:val="center"/>
              <w:rPr>
                <w:sz w:val="24"/>
              </w:rPr>
            </w:pPr>
            <w:r>
              <w:rPr>
                <w:rFonts w:hint="eastAsia"/>
                <w:sz w:val="24"/>
              </w:rPr>
              <w:t>100</w:t>
            </w:r>
            <w:r>
              <w:rPr>
                <w:sz w:val="24"/>
              </w:rPr>
              <w:t>%</w:t>
            </w:r>
          </w:p>
        </w:tc>
      </w:tr>
      <w:tr w:rsidR="000F7FAD">
        <w:trPr>
          <w:trHeight w:val="276"/>
          <w:jc w:val="center"/>
        </w:trPr>
        <w:tc>
          <w:tcPr>
            <w:tcW w:w="708" w:type="dxa"/>
            <w:vAlign w:val="center"/>
          </w:tcPr>
          <w:p w:rsidR="000F7FAD" w:rsidRDefault="00BB4424">
            <w:pPr>
              <w:spacing w:line="300" w:lineRule="exact"/>
              <w:jc w:val="center"/>
              <w:rPr>
                <w:rFonts w:eastAsia="黑体"/>
                <w:sz w:val="24"/>
              </w:rPr>
            </w:pPr>
            <w:r>
              <w:rPr>
                <w:rFonts w:eastAsia="黑体"/>
                <w:sz w:val="24"/>
              </w:rPr>
              <w:t>16</w:t>
            </w:r>
          </w:p>
        </w:tc>
        <w:tc>
          <w:tcPr>
            <w:tcW w:w="1014" w:type="dxa"/>
            <w:vAlign w:val="center"/>
          </w:tcPr>
          <w:p w:rsidR="000F7FAD" w:rsidRDefault="00BB4424">
            <w:pPr>
              <w:spacing w:line="300" w:lineRule="exact"/>
              <w:jc w:val="center"/>
              <w:rPr>
                <w:rFonts w:ascii="仿宋_GB2312"/>
                <w:sz w:val="24"/>
              </w:rPr>
            </w:pPr>
            <w:r>
              <w:rPr>
                <w:rFonts w:ascii="仿宋_GB2312" w:hAnsi="黑体" w:hint="eastAsia"/>
                <w:sz w:val="24"/>
              </w:rPr>
              <w:t>长安</w:t>
            </w:r>
          </w:p>
        </w:tc>
        <w:tc>
          <w:tcPr>
            <w:tcW w:w="1188" w:type="dxa"/>
            <w:vAlign w:val="center"/>
          </w:tcPr>
          <w:p w:rsidR="000F7FAD" w:rsidRDefault="00BB4424">
            <w:pPr>
              <w:spacing w:line="300" w:lineRule="exact"/>
              <w:jc w:val="center"/>
              <w:rPr>
                <w:sz w:val="24"/>
              </w:rPr>
            </w:pPr>
            <w:r>
              <w:rPr>
                <w:rFonts w:hint="eastAsia"/>
                <w:sz w:val="24"/>
              </w:rPr>
              <w:t>791243</w:t>
            </w:r>
          </w:p>
        </w:tc>
        <w:tc>
          <w:tcPr>
            <w:tcW w:w="1485" w:type="dxa"/>
            <w:vAlign w:val="center"/>
          </w:tcPr>
          <w:p w:rsidR="000F7FAD" w:rsidRDefault="00BB4424">
            <w:pPr>
              <w:spacing w:line="300" w:lineRule="exact"/>
              <w:jc w:val="center"/>
              <w:rPr>
                <w:rFonts w:eastAsia="宋体"/>
                <w:sz w:val="24"/>
              </w:rPr>
            </w:pPr>
            <w:r>
              <w:rPr>
                <w:sz w:val="24"/>
              </w:rPr>
              <w:t>605</w:t>
            </w:r>
          </w:p>
        </w:tc>
        <w:tc>
          <w:tcPr>
            <w:tcW w:w="1275" w:type="dxa"/>
            <w:vAlign w:val="center"/>
          </w:tcPr>
          <w:p w:rsidR="000F7FAD" w:rsidRDefault="00BB4424">
            <w:pPr>
              <w:spacing w:line="300" w:lineRule="exact"/>
              <w:jc w:val="center"/>
              <w:rPr>
                <w:rFonts w:eastAsia="宋体"/>
                <w:sz w:val="24"/>
              </w:rPr>
            </w:pPr>
            <w:r>
              <w:rPr>
                <w:sz w:val="24"/>
              </w:rPr>
              <w:t>5101</w:t>
            </w:r>
          </w:p>
        </w:tc>
        <w:tc>
          <w:tcPr>
            <w:tcW w:w="1418" w:type="dxa"/>
            <w:vAlign w:val="center"/>
          </w:tcPr>
          <w:p w:rsidR="000F7FAD" w:rsidRDefault="00BB4424">
            <w:pPr>
              <w:spacing w:line="300" w:lineRule="exact"/>
              <w:jc w:val="center"/>
              <w:rPr>
                <w:sz w:val="24"/>
              </w:rPr>
            </w:pPr>
            <w:r>
              <w:rPr>
                <w:rFonts w:hint="eastAsia"/>
                <w:sz w:val="24"/>
              </w:rPr>
              <w:t>&gt;</w:t>
            </w:r>
            <w:r>
              <w:rPr>
                <w:sz w:val="24"/>
              </w:rPr>
              <w:t>7</w:t>
            </w:r>
            <w:r>
              <w:rPr>
                <w:rFonts w:hint="eastAsia"/>
                <w:sz w:val="24"/>
              </w:rPr>
              <w:t>8</w:t>
            </w:r>
            <w:r>
              <w:rPr>
                <w:sz w:val="24"/>
              </w:rPr>
              <w:t>%</w:t>
            </w:r>
          </w:p>
        </w:tc>
        <w:tc>
          <w:tcPr>
            <w:tcW w:w="1417" w:type="dxa"/>
            <w:vAlign w:val="center"/>
          </w:tcPr>
          <w:p w:rsidR="000F7FAD" w:rsidRDefault="00BB4424">
            <w:pPr>
              <w:spacing w:line="300" w:lineRule="exact"/>
              <w:jc w:val="center"/>
              <w:rPr>
                <w:sz w:val="24"/>
              </w:rPr>
            </w:pPr>
            <w:r>
              <w:rPr>
                <w:rFonts w:hint="eastAsia"/>
                <w:sz w:val="24"/>
              </w:rPr>
              <w:t>&gt;</w:t>
            </w:r>
            <w:r>
              <w:rPr>
                <w:sz w:val="24"/>
              </w:rPr>
              <w:t>9</w:t>
            </w:r>
            <w:r>
              <w:rPr>
                <w:rFonts w:hint="eastAsia"/>
                <w:sz w:val="24"/>
              </w:rPr>
              <w:t>6</w:t>
            </w:r>
            <w:r>
              <w:rPr>
                <w:sz w:val="24"/>
              </w:rPr>
              <w:t>%</w:t>
            </w:r>
          </w:p>
        </w:tc>
        <w:tc>
          <w:tcPr>
            <w:tcW w:w="1701" w:type="dxa"/>
            <w:vAlign w:val="center"/>
          </w:tcPr>
          <w:p w:rsidR="000F7FAD" w:rsidRDefault="00BB4424">
            <w:pPr>
              <w:spacing w:line="300" w:lineRule="exact"/>
              <w:jc w:val="center"/>
              <w:rPr>
                <w:sz w:val="24"/>
              </w:rPr>
            </w:pPr>
            <w:r>
              <w:rPr>
                <w:rFonts w:hint="eastAsia"/>
                <w:sz w:val="24"/>
              </w:rPr>
              <w:t>100</w:t>
            </w:r>
            <w:r>
              <w:rPr>
                <w:sz w:val="24"/>
              </w:rPr>
              <w:t>%</w:t>
            </w:r>
          </w:p>
        </w:tc>
      </w:tr>
      <w:tr w:rsidR="000F7FAD">
        <w:trPr>
          <w:trHeight w:val="276"/>
          <w:jc w:val="center"/>
        </w:trPr>
        <w:tc>
          <w:tcPr>
            <w:tcW w:w="708" w:type="dxa"/>
            <w:vAlign w:val="center"/>
          </w:tcPr>
          <w:p w:rsidR="000F7FAD" w:rsidRDefault="00BB4424">
            <w:pPr>
              <w:spacing w:line="300" w:lineRule="exact"/>
              <w:jc w:val="center"/>
              <w:rPr>
                <w:rFonts w:eastAsia="黑体"/>
                <w:sz w:val="24"/>
              </w:rPr>
            </w:pPr>
            <w:r>
              <w:rPr>
                <w:rFonts w:eastAsia="黑体"/>
                <w:sz w:val="24"/>
              </w:rPr>
              <w:t>17</w:t>
            </w:r>
          </w:p>
        </w:tc>
        <w:tc>
          <w:tcPr>
            <w:tcW w:w="1014" w:type="dxa"/>
            <w:vAlign w:val="center"/>
          </w:tcPr>
          <w:p w:rsidR="000F7FAD" w:rsidRDefault="00BB4424">
            <w:pPr>
              <w:spacing w:line="300" w:lineRule="exact"/>
              <w:jc w:val="center"/>
              <w:rPr>
                <w:rFonts w:ascii="仿宋_GB2312"/>
                <w:sz w:val="24"/>
              </w:rPr>
            </w:pPr>
            <w:r>
              <w:rPr>
                <w:rFonts w:ascii="仿宋_GB2312" w:hAnsi="黑体" w:hint="eastAsia"/>
                <w:sz w:val="24"/>
              </w:rPr>
              <w:t>寮步</w:t>
            </w:r>
          </w:p>
        </w:tc>
        <w:tc>
          <w:tcPr>
            <w:tcW w:w="1188" w:type="dxa"/>
            <w:vAlign w:val="center"/>
          </w:tcPr>
          <w:p w:rsidR="000F7FAD" w:rsidRDefault="00BB4424">
            <w:pPr>
              <w:spacing w:line="300" w:lineRule="exact"/>
              <w:jc w:val="center"/>
              <w:rPr>
                <w:sz w:val="24"/>
              </w:rPr>
            </w:pPr>
            <w:r>
              <w:rPr>
                <w:rFonts w:hint="eastAsia"/>
                <w:sz w:val="24"/>
              </w:rPr>
              <w:t>502828</w:t>
            </w:r>
          </w:p>
        </w:tc>
        <w:tc>
          <w:tcPr>
            <w:tcW w:w="1485" w:type="dxa"/>
            <w:vAlign w:val="center"/>
          </w:tcPr>
          <w:p w:rsidR="000F7FAD" w:rsidRDefault="00BB4424">
            <w:pPr>
              <w:spacing w:line="300" w:lineRule="exact"/>
              <w:jc w:val="center"/>
              <w:rPr>
                <w:rFonts w:eastAsia="宋体"/>
                <w:sz w:val="24"/>
              </w:rPr>
            </w:pPr>
            <w:r>
              <w:rPr>
                <w:sz w:val="24"/>
              </w:rPr>
              <w:t>323</w:t>
            </w:r>
          </w:p>
        </w:tc>
        <w:tc>
          <w:tcPr>
            <w:tcW w:w="1275" w:type="dxa"/>
            <w:vAlign w:val="center"/>
          </w:tcPr>
          <w:p w:rsidR="000F7FAD" w:rsidRDefault="00BB4424">
            <w:pPr>
              <w:spacing w:line="300" w:lineRule="exact"/>
              <w:jc w:val="center"/>
              <w:rPr>
                <w:rFonts w:eastAsia="宋体"/>
                <w:sz w:val="24"/>
              </w:rPr>
            </w:pPr>
            <w:r>
              <w:rPr>
                <w:sz w:val="24"/>
              </w:rPr>
              <w:t>2725</w:t>
            </w:r>
          </w:p>
        </w:tc>
        <w:tc>
          <w:tcPr>
            <w:tcW w:w="1418" w:type="dxa"/>
            <w:vAlign w:val="center"/>
          </w:tcPr>
          <w:p w:rsidR="000F7FAD" w:rsidRDefault="00BB4424">
            <w:pPr>
              <w:spacing w:line="300" w:lineRule="exact"/>
              <w:jc w:val="center"/>
              <w:rPr>
                <w:sz w:val="24"/>
              </w:rPr>
            </w:pPr>
            <w:r>
              <w:rPr>
                <w:rFonts w:hint="eastAsia"/>
                <w:sz w:val="24"/>
              </w:rPr>
              <w:t>&gt;</w:t>
            </w:r>
            <w:r>
              <w:rPr>
                <w:sz w:val="24"/>
              </w:rPr>
              <w:t>7</w:t>
            </w:r>
            <w:r>
              <w:rPr>
                <w:rFonts w:hint="eastAsia"/>
                <w:sz w:val="24"/>
              </w:rPr>
              <w:t>8</w:t>
            </w:r>
            <w:r>
              <w:rPr>
                <w:sz w:val="24"/>
              </w:rPr>
              <w:t>%</w:t>
            </w:r>
          </w:p>
        </w:tc>
        <w:tc>
          <w:tcPr>
            <w:tcW w:w="1417" w:type="dxa"/>
            <w:vAlign w:val="center"/>
          </w:tcPr>
          <w:p w:rsidR="000F7FAD" w:rsidRDefault="00BB4424">
            <w:pPr>
              <w:spacing w:line="300" w:lineRule="exact"/>
              <w:jc w:val="center"/>
              <w:rPr>
                <w:sz w:val="24"/>
              </w:rPr>
            </w:pPr>
            <w:r>
              <w:rPr>
                <w:rFonts w:hint="eastAsia"/>
                <w:sz w:val="24"/>
              </w:rPr>
              <w:t>&gt;</w:t>
            </w:r>
            <w:r>
              <w:rPr>
                <w:sz w:val="24"/>
              </w:rPr>
              <w:t>9</w:t>
            </w:r>
            <w:r>
              <w:rPr>
                <w:rFonts w:hint="eastAsia"/>
                <w:sz w:val="24"/>
              </w:rPr>
              <w:t>6</w:t>
            </w:r>
            <w:r>
              <w:rPr>
                <w:sz w:val="24"/>
              </w:rPr>
              <w:t>%</w:t>
            </w:r>
          </w:p>
        </w:tc>
        <w:tc>
          <w:tcPr>
            <w:tcW w:w="1701" w:type="dxa"/>
            <w:vAlign w:val="center"/>
          </w:tcPr>
          <w:p w:rsidR="000F7FAD" w:rsidRDefault="00BB4424">
            <w:pPr>
              <w:spacing w:line="300" w:lineRule="exact"/>
              <w:jc w:val="center"/>
              <w:rPr>
                <w:sz w:val="24"/>
              </w:rPr>
            </w:pPr>
            <w:r>
              <w:rPr>
                <w:rFonts w:hint="eastAsia"/>
                <w:sz w:val="24"/>
              </w:rPr>
              <w:t>100</w:t>
            </w:r>
            <w:r>
              <w:rPr>
                <w:sz w:val="24"/>
              </w:rPr>
              <w:t>%</w:t>
            </w:r>
          </w:p>
        </w:tc>
      </w:tr>
      <w:tr w:rsidR="000F7FAD">
        <w:trPr>
          <w:trHeight w:val="291"/>
          <w:jc w:val="center"/>
        </w:trPr>
        <w:tc>
          <w:tcPr>
            <w:tcW w:w="708" w:type="dxa"/>
            <w:vAlign w:val="center"/>
          </w:tcPr>
          <w:p w:rsidR="000F7FAD" w:rsidRDefault="00BB4424">
            <w:pPr>
              <w:spacing w:line="300" w:lineRule="exact"/>
              <w:jc w:val="center"/>
              <w:rPr>
                <w:rFonts w:eastAsia="黑体"/>
                <w:sz w:val="24"/>
              </w:rPr>
            </w:pPr>
            <w:r>
              <w:rPr>
                <w:rFonts w:eastAsia="黑体"/>
                <w:sz w:val="24"/>
              </w:rPr>
              <w:t>18</w:t>
            </w:r>
          </w:p>
        </w:tc>
        <w:tc>
          <w:tcPr>
            <w:tcW w:w="1014" w:type="dxa"/>
            <w:vAlign w:val="center"/>
          </w:tcPr>
          <w:p w:rsidR="000F7FAD" w:rsidRDefault="00BB4424">
            <w:pPr>
              <w:spacing w:line="300" w:lineRule="exact"/>
              <w:jc w:val="center"/>
              <w:rPr>
                <w:rFonts w:ascii="仿宋_GB2312"/>
                <w:sz w:val="24"/>
              </w:rPr>
            </w:pPr>
            <w:r>
              <w:rPr>
                <w:rFonts w:ascii="仿宋_GB2312" w:hAnsi="黑体" w:hint="eastAsia"/>
                <w:sz w:val="24"/>
              </w:rPr>
              <w:t>大岭山</w:t>
            </w:r>
          </w:p>
        </w:tc>
        <w:tc>
          <w:tcPr>
            <w:tcW w:w="1188" w:type="dxa"/>
            <w:vAlign w:val="center"/>
          </w:tcPr>
          <w:p w:rsidR="000F7FAD" w:rsidRDefault="00BB4424">
            <w:pPr>
              <w:spacing w:line="300" w:lineRule="exact"/>
              <w:jc w:val="center"/>
              <w:rPr>
                <w:sz w:val="24"/>
              </w:rPr>
            </w:pPr>
            <w:r>
              <w:rPr>
                <w:rFonts w:hint="eastAsia"/>
                <w:sz w:val="24"/>
              </w:rPr>
              <w:t>358779</w:t>
            </w:r>
          </w:p>
        </w:tc>
        <w:tc>
          <w:tcPr>
            <w:tcW w:w="1485" w:type="dxa"/>
            <w:vAlign w:val="center"/>
          </w:tcPr>
          <w:p w:rsidR="000F7FAD" w:rsidRDefault="00BB4424">
            <w:pPr>
              <w:spacing w:line="300" w:lineRule="exact"/>
              <w:jc w:val="center"/>
              <w:rPr>
                <w:rFonts w:eastAsia="宋体"/>
                <w:sz w:val="24"/>
              </w:rPr>
            </w:pPr>
            <w:r>
              <w:rPr>
                <w:sz w:val="24"/>
              </w:rPr>
              <w:t>230</w:t>
            </w:r>
          </w:p>
        </w:tc>
        <w:tc>
          <w:tcPr>
            <w:tcW w:w="1275" w:type="dxa"/>
            <w:vAlign w:val="center"/>
          </w:tcPr>
          <w:p w:rsidR="000F7FAD" w:rsidRDefault="00BB4424">
            <w:pPr>
              <w:spacing w:line="300" w:lineRule="exact"/>
              <w:jc w:val="center"/>
              <w:rPr>
                <w:rFonts w:eastAsia="宋体"/>
                <w:sz w:val="24"/>
              </w:rPr>
            </w:pPr>
            <w:r>
              <w:rPr>
                <w:sz w:val="24"/>
              </w:rPr>
              <w:t>1935</w:t>
            </w:r>
          </w:p>
        </w:tc>
        <w:tc>
          <w:tcPr>
            <w:tcW w:w="1418" w:type="dxa"/>
            <w:vAlign w:val="center"/>
          </w:tcPr>
          <w:p w:rsidR="000F7FAD" w:rsidRDefault="00BB4424">
            <w:pPr>
              <w:spacing w:line="300" w:lineRule="exact"/>
              <w:jc w:val="center"/>
              <w:rPr>
                <w:sz w:val="24"/>
              </w:rPr>
            </w:pPr>
            <w:r>
              <w:rPr>
                <w:rFonts w:hint="eastAsia"/>
                <w:sz w:val="24"/>
              </w:rPr>
              <w:t>&gt;</w:t>
            </w:r>
            <w:r>
              <w:rPr>
                <w:sz w:val="24"/>
              </w:rPr>
              <w:t>7</w:t>
            </w:r>
            <w:r>
              <w:rPr>
                <w:rFonts w:hint="eastAsia"/>
                <w:sz w:val="24"/>
              </w:rPr>
              <w:t>8</w:t>
            </w:r>
            <w:r>
              <w:rPr>
                <w:sz w:val="24"/>
              </w:rPr>
              <w:t>%</w:t>
            </w:r>
          </w:p>
        </w:tc>
        <w:tc>
          <w:tcPr>
            <w:tcW w:w="1417" w:type="dxa"/>
            <w:vAlign w:val="center"/>
          </w:tcPr>
          <w:p w:rsidR="000F7FAD" w:rsidRDefault="00BB4424">
            <w:pPr>
              <w:spacing w:line="300" w:lineRule="exact"/>
              <w:jc w:val="center"/>
              <w:rPr>
                <w:sz w:val="24"/>
              </w:rPr>
            </w:pPr>
            <w:r>
              <w:rPr>
                <w:rFonts w:hint="eastAsia"/>
                <w:sz w:val="24"/>
              </w:rPr>
              <w:t>&gt;</w:t>
            </w:r>
            <w:r>
              <w:rPr>
                <w:sz w:val="24"/>
              </w:rPr>
              <w:t>9</w:t>
            </w:r>
            <w:r>
              <w:rPr>
                <w:rFonts w:hint="eastAsia"/>
                <w:sz w:val="24"/>
              </w:rPr>
              <w:t>6</w:t>
            </w:r>
            <w:r>
              <w:rPr>
                <w:sz w:val="24"/>
              </w:rPr>
              <w:t>%</w:t>
            </w:r>
          </w:p>
        </w:tc>
        <w:tc>
          <w:tcPr>
            <w:tcW w:w="1701" w:type="dxa"/>
            <w:vAlign w:val="center"/>
          </w:tcPr>
          <w:p w:rsidR="000F7FAD" w:rsidRDefault="00BB4424">
            <w:pPr>
              <w:spacing w:line="300" w:lineRule="exact"/>
              <w:jc w:val="center"/>
              <w:rPr>
                <w:sz w:val="24"/>
              </w:rPr>
            </w:pPr>
            <w:r>
              <w:rPr>
                <w:rFonts w:hint="eastAsia"/>
                <w:sz w:val="24"/>
              </w:rPr>
              <w:t>100</w:t>
            </w:r>
            <w:r>
              <w:rPr>
                <w:sz w:val="24"/>
              </w:rPr>
              <w:t>%</w:t>
            </w:r>
          </w:p>
        </w:tc>
      </w:tr>
      <w:tr w:rsidR="000F7FAD">
        <w:trPr>
          <w:trHeight w:val="276"/>
          <w:jc w:val="center"/>
        </w:trPr>
        <w:tc>
          <w:tcPr>
            <w:tcW w:w="708" w:type="dxa"/>
            <w:vAlign w:val="center"/>
          </w:tcPr>
          <w:p w:rsidR="000F7FAD" w:rsidRDefault="00BB4424">
            <w:pPr>
              <w:spacing w:line="300" w:lineRule="exact"/>
              <w:jc w:val="center"/>
              <w:rPr>
                <w:rFonts w:eastAsia="黑体"/>
                <w:sz w:val="24"/>
              </w:rPr>
            </w:pPr>
            <w:r>
              <w:rPr>
                <w:rFonts w:eastAsia="黑体"/>
                <w:sz w:val="24"/>
              </w:rPr>
              <w:t>19</w:t>
            </w:r>
          </w:p>
        </w:tc>
        <w:tc>
          <w:tcPr>
            <w:tcW w:w="1014" w:type="dxa"/>
            <w:vAlign w:val="center"/>
          </w:tcPr>
          <w:p w:rsidR="000F7FAD" w:rsidRDefault="00BB4424">
            <w:pPr>
              <w:spacing w:line="300" w:lineRule="exact"/>
              <w:jc w:val="center"/>
              <w:rPr>
                <w:rFonts w:ascii="仿宋_GB2312"/>
                <w:sz w:val="24"/>
              </w:rPr>
            </w:pPr>
            <w:r>
              <w:rPr>
                <w:rFonts w:ascii="仿宋_GB2312" w:hAnsi="黑体" w:hint="eastAsia"/>
                <w:sz w:val="24"/>
              </w:rPr>
              <w:t>大朗</w:t>
            </w:r>
          </w:p>
        </w:tc>
        <w:tc>
          <w:tcPr>
            <w:tcW w:w="1188" w:type="dxa"/>
            <w:vAlign w:val="center"/>
          </w:tcPr>
          <w:p w:rsidR="000F7FAD" w:rsidRDefault="00BB4424">
            <w:pPr>
              <w:spacing w:line="300" w:lineRule="exact"/>
              <w:jc w:val="center"/>
              <w:rPr>
                <w:sz w:val="24"/>
              </w:rPr>
            </w:pPr>
            <w:r>
              <w:rPr>
                <w:rFonts w:hint="eastAsia"/>
                <w:sz w:val="24"/>
              </w:rPr>
              <w:t>545642</w:t>
            </w:r>
          </w:p>
        </w:tc>
        <w:tc>
          <w:tcPr>
            <w:tcW w:w="1485" w:type="dxa"/>
            <w:vAlign w:val="center"/>
          </w:tcPr>
          <w:p w:rsidR="000F7FAD" w:rsidRDefault="00BB4424">
            <w:pPr>
              <w:spacing w:line="300" w:lineRule="exact"/>
              <w:jc w:val="center"/>
              <w:rPr>
                <w:rFonts w:eastAsia="宋体"/>
                <w:sz w:val="24"/>
              </w:rPr>
            </w:pPr>
            <w:r>
              <w:rPr>
                <w:sz w:val="24"/>
              </w:rPr>
              <w:t>241</w:t>
            </w:r>
          </w:p>
        </w:tc>
        <w:tc>
          <w:tcPr>
            <w:tcW w:w="1275" w:type="dxa"/>
            <w:vAlign w:val="center"/>
          </w:tcPr>
          <w:p w:rsidR="000F7FAD" w:rsidRDefault="00BB4424">
            <w:pPr>
              <w:spacing w:line="300" w:lineRule="exact"/>
              <w:jc w:val="center"/>
              <w:rPr>
                <w:rFonts w:eastAsia="宋体"/>
                <w:sz w:val="24"/>
              </w:rPr>
            </w:pPr>
            <w:r>
              <w:rPr>
                <w:sz w:val="24"/>
              </w:rPr>
              <w:t>2033</w:t>
            </w:r>
          </w:p>
        </w:tc>
        <w:tc>
          <w:tcPr>
            <w:tcW w:w="1418" w:type="dxa"/>
            <w:vAlign w:val="center"/>
          </w:tcPr>
          <w:p w:rsidR="000F7FAD" w:rsidRDefault="00BB4424">
            <w:pPr>
              <w:spacing w:line="300" w:lineRule="exact"/>
              <w:jc w:val="center"/>
              <w:rPr>
                <w:sz w:val="24"/>
              </w:rPr>
            </w:pPr>
            <w:r>
              <w:rPr>
                <w:rFonts w:hint="eastAsia"/>
                <w:sz w:val="24"/>
              </w:rPr>
              <w:t>&gt;</w:t>
            </w:r>
            <w:r>
              <w:rPr>
                <w:sz w:val="24"/>
              </w:rPr>
              <w:t>7</w:t>
            </w:r>
            <w:r>
              <w:rPr>
                <w:rFonts w:hint="eastAsia"/>
                <w:sz w:val="24"/>
              </w:rPr>
              <w:t>8</w:t>
            </w:r>
            <w:r>
              <w:rPr>
                <w:sz w:val="24"/>
              </w:rPr>
              <w:t>%</w:t>
            </w:r>
          </w:p>
        </w:tc>
        <w:tc>
          <w:tcPr>
            <w:tcW w:w="1417" w:type="dxa"/>
            <w:vAlign w:val="center"/>
          </w:tcPr>
          <w:p w:rsidR="000F7FAD" w:rsidRDefault="00BB4424">
            <w:pPr>
              <w:spacing w:line="300" w:lineRule="exact"/>
              <w:jc w:val="center"/>
              <w:rPr>
                <w:sz w:val="24"/>
              </w:rPr>
            </w:pPr>
            <w:r>
              <w:rPr>
                <w:rFonts w:hint="eastAsia"/>
                <w:sz w:val="24"/>
              </w:rPr>
              <w:t>&gt;</w:t>
            </w:r>
            <w:r>
              <w:rPr>
                <w:sz w:val="24"/>
              </w:rPr>
              <w:t>9</w:t>
            </w:r>
            <w:r>
              <w:rPr>
                <w:rFonts w:hint="eastAsia"/>
                <w:sz w:val="24"/>
              </w:rPr>
              <w:t>6</w:t>
            </w:r>
            <w:r>
              <w:rPr>
                <w:sz w:val="24"/>
              </w:rPr>
              <w:t>%</w:t>
            </w:r>
          </w:p>
        </w:tc>
        <w:tc>
          <w:tcPr>
            <w:tcW w:w="1701" w:type="dxa"/>
            <w:vAlign w:val="center"/>
          </w:tcPr>
          <w:p w:rsidR="000F7FAD" w:rsidRDefault="00BB4424">
            <w:pPr>
              <w:spacing w:line="300" w:lineRule="exact"/>
              <w:jc w:val="center"/>
              <w:rPr>
                <w:sz w:val="24"/>
              </w:rPr>
            </w:pPr>
            <w:r>
              <w:rPr>
                <w:rFonts w:hint="eastAsia"/>
                <w:sz w:val="24"/>
              </w:rPr>
              <w:t>100</w:t>
            </w:r>
            <w:r>
              <w:rPr>
                <w:sz w:val="24"/>
              </w:rPr>
              <w:t>%</w:t>
            </w:r>
          </w:p>
        </w:tc>
      </w:tr>
      <w:tr w:rsidR="000F7FAD">
        <w:trPr>
          <w:trHeight w:val="276"/>
          <w:jc w:val="center"/>
        </w:trPr>
        <w:tc>
          <w:tcPr>
            <w:tcW w:w="708" w:type="dxa"/>
            <w:vAlign w:val="center"/>
          </w:tcPr>
          <w:p w:rsidR="000F7FAD" w:rsidRDefault="00BB4424">
            <w:pPr>
              <w:spacing w:line="300" w:lineRule="exact"/>
              <w:jc w:val="center"/>
              <w:rPr>
                <w:rFonts w:eastAsia="黑体"/>
                <w:sz w:val="24"/>
              </w:rPr>
            </w:pPr>
            <w:r>
              <w:rPr>
                <w:rFonts w:eastAsia="黑体"/>
                <w:sz w:val="24"/>
              </w:rPr>
              <w:t>20</w:t>
            </w:r>
          </w:p>
        </w:tc>
        <w:tc>
          <w:tcPr>
            <w:tcW w:w="1014" w:type="dxa"/>
            <w:vAlign w:val="center"/>
          </w:tcPr>
          <w:p w:rsidR="000F7FAD" w:rsidRDefault="00BB4424">
            <w:pPr>
              <w:spacing w:line="300" w:lineRule="exact"/>
              <w:jc w:val="center"/>
              <w:rPr>
                <w:rFonts w:ascii="仿宋_GB2312"/>
                <w:sz w:val="24"/>
              </w:rPr>
            </w:pPr>
            <w:r>
              <w:rPr>
                <w:rFonts w:ascii="仿宋_GB2312" w:hAnsi="黑体" w:hint="eastAsia"/>
                <w:sz w:val="24"/>
              </w:rPr>
              <w:t>黄江</w:t>
            </w:r>
          </w:p>
        </w:tc>
        <w:tc>
          <w:tcPr>
            <w:tcW w:w="1188" w:type="dxa"/>
            <w:vAlign w:val="center"/>
          </w:tcPr>
          <w:p w:rsidR="000F7FAD" w:rsidRDefault="00BB4424">
            <w:pPr>
              <w:spacing w:line="300" w:lineRule="exact"/>
              <w:jc w:val="center"/>
              <w:rPr>
                <w:sz w:val="24"/>
              </w:rPr>
            </w:pPr>
            <w:r>
              <w:rPr>
                <w:rFonts w:hint="eastAsia"/>
                <w:sz w:val="24"/>
              </w:rPr>
              <w:t>277757</w:t>
            </w:r>
          </w:p>
        </w:tc>
        <w:tc>
          <w:tcPr>
            <w:tcW w:w="1485" w:type="dxa"/>
            <w:vAlign w:val="center"/>
          </w:tcPr>
          <w:p w:rsidR="000F7FAD" w:rsidRDefault="00BB4424">
            <w:pPr>
              <w:spacing w:line="300" w:lineRule="exact"/>
              <w:jc w:val="center"/>
              <w:rPr>
                <w:rFonts w:eastAsia="宋体"/>
                <w:sz w:val="24"/>
              </w:rPr>
            </w:pPr>
            <w:r>
              <w:rPr>
                <w:sz w:val="24"/>
              </w:rPr>
              <w:t>186</w:t>
            </w:r>
          </w:p>
        </w:tc>
        <w:tc>
          <w:tcPr>
            <w:tcW w:w="1275" w:type="dxa"/>
            <w:vAlign w:val="center"/>
          </w:tcPr>
          <w:p w:rsidR="000F7FAD" w:rsidRDefault="00BB4424">
            <w:pPr>
              <w:spacing w:line="300" w:lineRule="exact"/>
              <w:jc w:val="center"/>
              <w:rPr>
                <w:rFonts w:eastAsia="宋体"/>
                <w:sz w:val="24"/>
              </w:rPr>
            </w:pPr>
            <w:r>
              <w:rPr>
                <w:sz w:val="24"/>
              </w:rPr>
              <w:t>1569</w:t>
            </w:r>
          </w:p>
        </w:tc>
        <w:tc>
          <w:tcPr>
            <w:tcW w:w="1418" w:type="dxa"/>
            <w:vAlign w:val="center"/>
          </w:tcPr>
          <w:p w:rsidR="000F7FAD" w:rsidRDefault="00BB4424">
            <w:pPr>
              <w:spacing w:line="300" w:lineRule="exact"/>
              <w:jc w:val="center"/>
              <w:rPr>
                <w:sz w:val="24"/>
              </w:rPr>
            </w:pPr>
            <w:r>
              <w:rPr>
                <w:rFonts w:hint="eastAsia"/>
                <w:sz w:val="24"/>
              </w:rPr>
              <w:t>&gt;</w:t>
            </w:r>
            <w:r>
              <w:rPr>
                <w:sz w:val="24"/>
              </w:rPr>
              <w:t>7</w:t>
            </w:r>
            <w:r>
              <w:rPr>
                <w:rFonts w:hint="eastAsia"/>
                <w:sz w:val="24"/>
              </w:rPr>
              <w:t>8</w:t>
            </w:r>
            <w:r>
              <w:rPr>
                <w:sz w:val="24"/>
              </w:rPr>
              <w:t>%</w:t>
            </w:r>
          </w:p>
        </w:tc>
        <w:tc>
          <w:tcPr>
            <w:tcW w:w="1417" w:type="dxa"/>
            <w:vAlign w:val="center"/>
          </w:tcPr>
          <w:p w:rsidR="000F7FAD" w:rsidRDefault="00BB4424">
            <w:pPr>
              <w:spacing w:line="300" w:lineRule="exact"/>
              <w:jc w:val="center"/>
              <w:rPr>
                <w:sz w:val="24"/>
              </w:rPr>
            </w:pPr>
            <w:r>
              <w:rPr>
                <w:rFonts w:hint="eastAsia"/>
                <w:sz w:val="24"/>
              </w:rPr>
              <w:t>&gt;</w:t>
            </w:r>
            <w:r>
              <w:rPr>
                <w:sz w:val="24"/>
              </w:rPr>
              <w:t>9</w:t>
            </w:r>
            <w:r>
              <w:rPr>
                <w:rFonts w:hint="eastAsia"/>
                <w:sz w:val="24"/>
              </w:rPr>
              <w:t>6</w:t>
            </w:r>
            <w:r>
              <w:rPr>
                <w:sz w:val="24"/>
              </w:rPr>
              <w:t>%</w:t>
            </w:r>
          </w:p>
        </w:tc>
        <w:tc>
          <w:tcPr>
            <w:tcW w:w="1701" w:type="dxa"/>
            <w:vAlign w:val="center"/>
          </w:tcPr>
          <w:p w:rsidR="000F7FAD" w:rsidRDefault="00BB4424">
            <w:pPr>
              <w:spacing w:line="300" w:lineRule="exact"/>
              <w:jc w:val="center"/>
              <w:rPr>
                <w:sz w:val="24"/>
              </w:rPr>
            </w:pPr>
            <w:r>
              <w:rPr>
                <w:rFonts w:hint="eastAsia"/>
                <w:sz w:val="24"/>
              </w:rPr>
              <w:t>100</w:t>
            </w:r>
            <w:r>
              <w:rPr>
                <w:sz w:val="24"/>
              </w:rPr>
              <w:t>%</w:t>
            </w:r>
          </w:p>
        </w:tc>
      </w:tr>
      <w:tr w:rsidR="000F7FAD">
        <w:trPr>
          <w:trHeight w:val="276"/>
          <w:jc w:val="center"/>
        </w:trPr>
        <w:tc>
          <w:tcPr>
            <w:tcW w:w="708" w:type="dxa"/>
            <w:vAlign w:val="center"/>
          </w:tcPr>
          <w:p w:rsidR="000F7FAD" w:rsidRDefault="00BB4424">
            <w:pPr>
              <w:spacing w:line="300" w:lineRule="exact"/>
              <w:jc w:val="center"/>
              <w:rPr>
                <w:rFonts w:eastAsia="黑体"/>
                <w:sz w:val="24"/>
              </w:rPr>
            </w:pPr>
            <w:r>
              <w:rPr>
                <w:rFonts w:eastAsia="黑体"/>
                <w:sz w:val="24"/>
              </w:rPr>
              <w:t>21</w:t>
            </w:r>
          </w:p>
        </w:tc>
        <w:tc>
          <w:tcPr>
            <w:tcW w:w="1014" w:type="dxa"/>
            <w:vAlign w:val="center"/>
          </w:tcPr>
          <w:p w:rsidR="000F7FAD" w:rsidRDefault="00BB4424">
            <w:pPr>
              <w:spacing w:line="300" w:lineRule="exact"/>
              <w:jc w:val="center"/>
              <w:rPr>
                <w:rFonts w:ascii="仿宋_GB2312"/>
                <w:sz w:val="24"/>
              </w:rPr>
            </w:pPr>
            <w:r>
              <w:rPr>
                <w:rFonts w:ascii="仿宋_GB2312" w:hAnsi="黑体" w:hint="eastAsia"/>
                <w:sz w:val="24"/>
              </w:rPr>
              <w:t>樟木头</w:t>
            </w:r>
          </w:p>
        </w:tc>
        <w:tc>
          <w:tcPr>
            <w:tcW w:w="1188" w:type="dxa"/>
            <w:vAlign w:val="center"/>
          </w:tcPr>
          <w:p w:rsidR="000F7FAD" w:rsidRDefault="00BB4424">
            <w:pPr>
              <w:spacing w:line="300" w:lineRule="exact"/>
              <w:jc w:val="center"/>
              <w:rPr>
                <w:sz w:val="24"/>
              </w:rPr>
            </w:pPr>
            <w:r>
              <w:rPr>
                <w:rFonts w:hint="eastAsia"/>
                <w:sz w:val="24"/>
              </w:rPr>
              <w:t>170398</w:t>
            </w:r>
          </w:p>
        </w:tc>
        <w:tc>
          <w:tcPr>
            <w:tcW w:w="1485" w:type="dxa"/>
            <w:vAlign w:val="center"/>
          </w:tcPr>
          <w:p w:rsidR="000F7FAD" w:rsidRDefault="00BB4424">
            <w:pPr>
              <w:spacing w:line="300" w:lineRule="exact"/>
              <w:jc w:val="center"/>
              <w:rPr>
                <w:rFonts w:eastAsia="宋体"/>
                <w:sz w:val="24"/>
              </w:rPr>
            </w:pPr>
            <w:r>
              <w:rPr>
                <w:sz w:val="24"/>
              </w:rPr>
              <w:t>108</w:t>
            </w:r>
          </w:p>
        </w:tc>
        <w:tc>
          <w:tcPr>
            <w:tcW w:w="1275" w:type="dxa"/>
            <w:vAlign w:val="center"/>
          </w:tcPr>
          <w:p w:rsidR="000F7FAD" w:rsidRDefault="00BB4424">
            <w:pPr>
              <w:spacing w:line="300" w:lineRule="exact"/>
              <w:jc w:val="center"/>
              <w:rPr>
                <w:rFonts w:eastAsia="宋体"/>
                <w:sz w:val="24"/>
              </w:rPr>
            </w:pPr>
            <w:r>
              <w:rPr>
                <w:sz w:val="24"/>
              </w:rPr>
              <w:t>909</w:t>
            </w:r>
          </w:p>
        </w:tc>
        <w:tc>
          <w:tcPr>
            <w:tcW w:w="1418" w:type="dxa"/>
            <w:vAlign w:val="center"/>
          </w:tcPr>
          <w:p w:rsidR="000F7FAD" w:rsidRDefault="00BB4424">
            <w:pPr>
              <w:spacing w:line="300" w:lineRule="exact"/>
              <w:jc w:val="center"/>
              <w:rPr>
                <w:sz w:val="24"/>
              </w:rPr>
            </w:pPr>
            <w:r>
              <w:rPr>
                <w:rFonts w:hint="eastAsia"/>
                <w:sz w:val="24"/>
              </w:rPr>
              <w:t>&gt;</w:t>
            </w:r>
            <w:r>
              <w:rPr>
                <w:sz w:val="24"/>
              </w:rPr>
              <w:t>7</w:t>
            </w:r>
            <w:r>
              <w:rPr>
                <w:rFonts w:hint="eastAsia"/>
                <w:sz w:val="24"/>
              </w:rPr>
              <w:t>8</w:t>
            </w:r>
            <w:r>
              <w:rPr>
                <w:sz w:val="24"/>
              </w:rPr>
              <w:t>%</w:t>
            </w:r>
          </w:p>
        </w:tc>
        <w:tc>
          <w:tcPr>
            <w:tcW w:w="1417" w:type="dxa"/>
            <w:vAlign w:val="center"/>
          </w:tcPr>
          <w:p w:rsidR="000F7FAD" w:rsidRDefault="00BB4424">
            <w:pPr>
              <w:spacing w:line="300" w:lineRule="exact"/>
              <w:jc w:val="center"/>
              <w:rPr>
                <w:sz w:val="24"/>
              </w:rPr>
            </w:pPr>
            <w:r>
              <w:rPr>
                <w:rFonts w:hint="eastAsia"/>
                <w:sz w:val="24"/>
              </w:rPr>
              <w:t>&gt;</w:t>
            </w:r>
            <w:r>
              <w:rPr>
                <w:sz w:val="24"/>
              </w:rPr>
              <w:t>9</w:t>
            </w:r>
            <w:r>
              <w:rPr>
                <w:rFonts w:hint="eastAsia"/>
                <w:sz w:val="24"/>
              </w:rPr>
              <w:t>6</w:t>
            </w:r>
            <w:r>
              <w:rPr>
                <w:sz w:val="24"/>
              </w:rPr>
              <w:t>%</w:t>
            </w:r>
          </w:p>
        </w:tc>
        <w:tc>
          <w:tcPr>
            <w:tcW w:w="1701" w:type="dxa"/>
            <w:vAlign w:val="center"/>
          </w:tcPr>
          <w:p w:rsidR="000F7FAD" w:rsidRDefault="00BB4424">
            <w:pPr>
              <w:spacing w:line="300" w:lineRule="exact"/>
              <w:jc w:val="center"/>
              <w:rPr>
                <w:sz w:val="24"/>
              </w:rPr>
            </w:pPr>
            <w:r>
              <w:rPr>
                <w:rFonts w:hint="eastAsia"/>
                <w:sz w:val="24"/>
              </w:rPr>
              <w:t>100</w:t>
            </w:r>
            <w:r>
              <w:rPr>
                <w:sz w:val="24"/>
              </w:rPr>
              <w:t>%</w:t>
            </w:r>
          </w:p>
        </w:tc>
      </w:tr>
      <w:tr w:rsidR="000F7FAD">
        <w:trPr>
          <w:trHeight w:val="276"/>
          <w:jc w:val="center"/>
        </w:trPr>
        <w:tc>
          <w:tcPr>
            <w:tcW w:w="708" w:type="dxa"/>
            <w:vAlign w:val="center"/>
          </w:tcPr>
          <w:p w:rsidR="000F7FAD" w:rsidRDefault="00BB4424">
            <w:pPr>
              <w:spacing w:line="300" w:lineRule="exact"/>
              <w:jc w:val="center"/>
              <w:rPr>
                <w:rFonts w:eastAsia="黑体"/>
                <w:sz w:val="24"/>
              </w:rPr>
            </w:pPr>
            <w:r>
              <w:rPr>
                <w:rFonts w:eastAsia="黑体"/>
                <w:sz w:val="24"/>
              </w:rPr>
              <w:t>22</w:t>
            </w:r>
          </w:p>
        </w:tc>
        <w:tc>
          <w:tcPr>
            <w:tcW w:w="1014" w:type="dxa"/>
            <w:vAlign w:val="center"/>
          </w:tcPr>
          <w:p w:rsidR="000F7FAD" w:rsidRDefault="00BB4424">
            <w:pPr>
              <w:spacing w:line="300" w:lineRule="exact"/>
              <w:jc w:val="center"/>
              <w:rPr>
                <w:rFonts w:ascii="仿宋_GB2312"/>
                <w:sz w:val="24"/>
              </w:rPr>
            </w:pPr>
            <w:r>
              <w:rPr>
                <w:rFonts w:ascii="仿宋_GB2312" w:hAnsi="黑体" w:hint="eastAsia"/>
                <w:sz w:val="24"/>
              </w:rPr>
              <w:t>凤岗</w:t>
            </w:r>
          </w:p>
        </w:tc>
        <w:tc>
          <w:tcPr>
            <w:tcW w:w="1188" w:type="dxa"/>
            <w:vAlign w:val="center"/>
          </w:tcPr>
          <w:p w:rsidR="000F7FAD" w:rsidRDefault="00BB4424">
            <w:pPr>
              <w:spacing w:line="300" w:lineRule="exact"/>
              <w:jc w:val="center"/>
              <w:rPr>
                <w:sz w:val="24"/>
              </w:rPr>
            </w:pPr>
            <w:r>
              <w:rPr>
                <w:rFonts w:hint="eastAsia"/>
                <w:sz w:val="24"/>
              </w:rPr>
              <w:t>409081</w:t>
            </w:r>
          </w:p>
        </w:tc>
        <w:tc>
          <w:tcPr>
            <w:tcW w:w="1485" w:type="dxa"/>
            <w:vAlign w:val="center"/>
          </w:tcPr>
          <w:p w:rsidR="000F7FAD" w:rsidRDefault="00BB4424">
            <w:pPr>
              <w:spacing w:line="300" w:lineRule="exact"/>
              <w:jc w:val="center"/>
              <w:rPr>
                <w:rFonts w:eastAsia="宋体"/>
                <w:sz w:val="24"/>
              </w:rPr>
            </w:pPr>
            <w:r>
              <w:rPr>
                <w:sz w:val="24"/>
              </w:rPr>
              <w:t>252</w:t>
            </w:r>
          </w:p>
        </w:tc>
        <w:tc>
          <w:tcPr>
            <w:tcW w:w="1275" w:type="dxa"/>
            <w:vAlign w:val="center"/>
          </w:tcPr>
          <w:p w:rsidR="000F7FAD" w:rsidRDefault="00BB4424">
            <w:pPr>
              <w:spacing w:line="300" w:lineRule="exact"/>
              <w:jc w:val="center"/>
              <w:rPr>
                <w:rFonts w:eastAsia="宋体"/>
                <w:sz w:val="24"/>
              </w:rPr>
            </w:pPr>
            <w:r>
              <w:rPr>
                <w:sz w:val="24"/>
              </w:rPr>
              <w:t>2124</w:t>
            </w:r>
          </w:p>
        </w:tc>
        <w:tc>
          <w:tcPr>
            <w:tcW w:w="1418" w:type="dxa"/>
            <w:vAlign w:val="center"/>
          </w:tcPr>
          <w:p w:rsidR="000F7FAD" w:rsidRDefault="00BB4424">
            <w:pPr>
              <w:spacing w:line="300" w:lineRule="exact"/>
              <w:jc w:val="center"/>
              <w:rPr>
                <w:sz w:val="24"/>
              </w:rPr>
            </w:pPr>
            <w:r>
              <w:rPr>
                <w:rFonts w:hint="eastAsia"/>
                <w:sz w:val="24"/>
              </w:rPr>
              <w:t>&gt;</w:t>
            </w:r>
            <w:r>
              <w:rPr>
                <w:sz w:val="24"/>
              </w:rPr>
              <w:t>7</w:t>
            </w:r>
            <w:r>
              <w:rPr>
                <w:rFonts w:hint="eastAsia"/>
                <w:sz w:val="24"/>
              </w:rPr>
              <w:t>8</w:t>
            </w:r>
            <w:r>
              <w:rPr>
                <w:sz w:val="24"/>
              </w:rPr>
              <w:t>%</w:t>
            </w:r>
          </w:p>
        </w:tc>
        <w:tc>
          <w:tcPr>
            <w:tcW w:w="1417" w:type="dxa"/>
            <w:vAlign w:val="center"/>
          </w:tcPr>
          <w:p w:rsidR="000F7FAD" w:rsidRDefault="00BB4424">
            <w:pPr>
              <w:spacing w:line="300" w:lineRule="exact"/>
              <w:jc w:val="center"/>
              <w:rPr>
                <w:sz w:val="24"/>
              </w:rPr>
            </w:pPr>
            <w:r>
              <w:rPr>
                <w:rFonts w:hint="eastAsia"/>
                <w:sz w:val="24"/>
              </w:rPr>
              <w:t>&gt;</w:t>
            </w:r>
            <w:r>
              <w:rPr>
                <w:sz w:val="24"/>
              </w:rPr>
              <w:t>9</w:t>
            </w:r>
            <w:r>
              <w:rPr>
                <w:rFonts w:hint="eastAsia"/>
                <w:sz w:val="24"/>
              </w:rPr>
              <w:t>6</w:t>
            </w:r>
            <w:r>
              <w:rPr>
                <w:sz w:val="24"/>
              </w:rPr>
              <w:t>%</w:t>
            </w:r>
          </w:p>
        </w:tc>
        <w:tc>
          <w:tcPr>
            <w:tcW w:w="1701" w:type="dxa"/>
            <w:vAlign w:val="center"/>
          </w:tcPr>
          <w:p w:rsidR="000F7FAD" w:rsidRDefault="00BB4424">
            <w:pPr>
              <w:spacing w:line="300" w:lineRule="exact"/>
              <w:jc w:val="center"/>
              <w:rPr>
                <w:sz w:val="24"/>
              </w:rPr>
            </w:pPr>
            <w:r>
              <w:rPr>
                <w:rFonts w:hint="eastAsia"/>
                <w:sz w:val="24"/>
              </w:rPr>
              <w:t>100</w:t>
            </w:r>
            <w:r>
              <w:rPr>
                <w:sz w:val="24"/>
              </w:rPr>
              <w:t>%</w:t>
            </w:r>
          </w:p>
        </w:tc>
      </w:tr>
      <w:tr w:rsidR="000F7FAD">
        <w:trPr>
          <w:trHeight w:val="291"/>
          <w:jc w:val="center"/>
        </w:trPr>
        <w:tc>
          <w:tcPr>
            <w:tcW w:w="708" w:type="dxa"/>
            <w:vAlign w:val="center"/>
          </w:tcPr>
          <w:p w:rsidR="000F7FAD" w:rsidRDefault="00BB4424">
            <w:pPr>
              <w:spacing w:line="300" w:lineRule="exact"/>
              <w:jc w:val="center"/>
              <w:rPr>
                <w:rFonts w:eastAsia="黑体"/>
                <w:sz w:val="24"/>
              </w:rPr>
            </w:pPr>
            <w:r>
              <w:rPr>
                <w:rFonts w:eastAsia="黑体"/>
                <w:sz w:val="24"/>
              </w:rPr>
              <w:t>23</w:t>
            </w:r>
          </w:p>
        </w:tc>
        <w:tc>
          <w:tcPr>
            <w:tcW w:w="1014" w:type="dxa"/>
            <w:vAlign w:val="center"/>
          </w:tcPr>
          <w:p w:rsidR="000F7FAD" w:rsidRDefault="00BB4424">
            <w:pPr>
              <w:spacing w:line="300" w:lineRule="exact"/>
              <w:jc w:val="center"/>
              <w:rPr>
                <w:rFonts w:ascii="仿宋_GB2312"/>
                <w:sz w:val="24"/>
              </w:rPr>
            </w:pPr>
            <w:r>
              <w:rPr>
                <w:rFonts w:ascii="仿宋_GB2312" w:hAnsi="黑体" w:hint="eastAsia"/>
                <w:sz w:val="24"/>
              </w:rPr>
              <w:t>塘厦</w:t>
            </w:r>
          </w:p>
        </w:tc>
        <w:tc>
          <w:tcPr>
            <w:tcW w:w="1188" w:type="dxa"/>
            <w:vAlign w:val="center"/>
          </w:tcPr>
          <w:p w:rsidR="000F7FAD" w:rsidRDefault="00BB4424">
            <w:pPr>
              <w:spacing w:line="300" w:lineRule="exact"/>
              <w:jc w:val="center"/>
              <w:rPr>
                <w:sz w:val="24"/>
              </w:rPr>
            </w:pPr>
            <w:r>
              <w:rPr>
                <w:rFonts w:hint="eastAsia"/>
                <w:sz w:val="24"/>
              </w:rPr>
              <w:t>616436</w:t>
            </w:r>
          </w:p>
        </w:tc>
        <w:tc>
          <w:tcPr>
            <w:tcW w:w="1485" w:type="dxa"/>
            <w:vAlign w:val="center"/>
          </w:tcPr>
          <w:p w:rsidR="000F7FAD" w:rsidRDefault="00BB4424">
            <w:pPr>
              <w:spacing w:line="300" w:lineRule="exact"/>
              <w:jc w:val="center"/>
              <w:rPr>
                <w:rFonts w:eastAsia="宋体"/>
                <w:sz w:val="24"/>
              </w:rPr>
            </w:pPr>
            <w:r>
              <w:rPr>
                <w:sz w:val="24"/>
              </w:rPr>
              <w:t>451</w:t>
            </w:r>
          </w:p>
        </w:tc>
        <w:tc>
          <w:tcPr>
            <w:tcW w:w="1275" w:type="dxa"/>
            <w:vAlign w:val="center"/>
          </w:tcPr>
          <w:p w:rsidR="000F7FAD" w:rsidRDefault="00BB4424">
            <w:pPr>
              <w:spacing w:line="300" w:lineRule="exact"/>
              <w:jc w:val="center"/>
              <w:rPr>
                <w:rFonts w:eastAsia="宋体"/>
                <w:sz w:val="24"/>
              </w:rPr>
            </w:pPr>
            <w:r>
              <w:rPr>
                <w:sz w:val="24"/>
              </w:rPr>
              <w:t>3797</w:t>
            </w:r>
          </w:p>
        </w:tc>
        <w:tc>
          <w:tcPr>
            <w:tcW w:w="1418" w:type="dxa"/>
            <w:vAlign w:val="center"/>
          </w:tcPr>
          <w:p w:rsidR="000F7FAD" w:rsidRDefault="00BB4424">
            <w:pPr>
              <w:spacing w:line="300" w:lineRule="exact"/>
              <w:jc w:val="center"/>
              <w:rPr>
                <w:sz w:val="24"/>
              </w:rPr>
            </w:pPr>
            <w:r>
              <w:rPr>
                <w:rFonts w:hint="eastAsia"/>
                <w:sz w:val="24"/>
              </w:rPr>
              <w:t>&gt;</w:t>
            </w:r>
            <w:r>
              <w:rPr>
                <w:sz w:val="24"/>
              </w:rPr>
              <w:t>7</w:t>
            </w:r>
            <w:r>
              <w:rPr>
                <w:rFonts w:hint="eastAsia"/>
                <w:sz w:val="24"/>
              </w:rPr>
              <w:t>8</w:t>
            </w:r>
            <w:r>
              <w:rPr>
                <w:sz w:val="24"/>
              </w:rPr>
              <w:t>%</w:t>
            </w:r>
          </w:p>
        </w:tc>
        <w:tc>
          <w:tcPr>
            <w:tcW w:w="1417" w:type="dxa"/>
            <w:vAlign w:val="center"/>
          </w:tcPr>
          <w:p w:rsidR="000F7FAD" w:rsidRDefault="00BB4424">
            <w:pPr>
              <w:spacing w:line="300" w:lineRule="exact"/>
              <w:jc w:val="center"/>
              <w:rPr>
                <w:sz w:val="24"/>
              </w:rPr>
            </w:pPr>
            <w:r>
              <w:rPr>
                <w:rFonts w:hint="eastAsia"/>
                <w:sz w:val="24"/>
              </w:rPr>
              <w:t>&gt;</w:t>
            </w:r>
            <w:r>
              <w:rPr>
                <w:sz w:val="24"/>
              </w:rPr>
              <w:t>9</w:t>
            </w:r>
            <w:r>
              <w:rPr>
                <w:rFonts w:hint="eastAsia"/>
                <w:sz w:val="24"/>
              </w:rPr>
              <w:t>6</w:t>
            </w:r>
            <w:r>
              <w:rPr>
                <w:sz w:val="24"/>
              </w:rPr>
              <w:t>%</w:t>
            </w:r>
          </w:p>
        </w:tc>
        <w:tc>
          <w:tcPr>
            <w:tcW w:w="1701" w:type="dxa"/>
            <w:vAlign w:val="center"/>
          </w:tcPr>
          <w:p w:rsidR="000F7FAD" w:rsidRDefault="00BB4424">
            <w:pPr>
              <w:spacing w:line="300" w:lineRule="exact"/>
              <w:jc w:val="center"/>
              <w:rPr>
                <w:sz w:val="24"/>
              </w:rPr>
            </w:pPr>
            <w:r>
              <w:rPr>
                <w:rFonts w:hint="eastAsia"/>
                <w:sz w:val="24"/>
              </w:rPr>
              <w:t>100</w:t>
            </w:r>
            <w:r>
              <w:rPr>
                <w:sz w:val="24"/>
              </w:rPr>
              <w:t>%</w:t>
            </w:r>
          </w:p>
        </w:tc>
      </w:tr>
      <w:tr w:rsidR="000F7FAD">
        <w:trPr>
          <w:trHeight w:val="276"/>
          <w:jc w:val="center"/>
        </w:trPr>
        <w:tc>
          <w:tcPr>
            <w:tcW w:w="708" w:type="dxa"/>
            <w:vAlign w:val="center"/>
          </w:tcPr>
          <w:p w:rsidR="000F7FAD" w:rsidRDefault="00BB4424">
            <w:pPr>
              <w:spacing w:line="300" w:lineRule="exact"/>
              <w:jc w:val="center"/>
              <w:rPr>
                <w:rFonts w:eastAsia="黑体"/>
                <w:sz w:val="24"/>
              </w:rPr>
            </w:pPr>
            <w:r>
              <w:rPr>
                <w:rFonts w:eastAsia="黑体"/>
                <w:sz w:val="24"/>
              </w:rPr>
              <w:t>24</w:t>
            </w:r>
          </w:p>
        </w:tc>
        <w:tc>
          <w:tcPr>
            <w:tcW w:w="1014" w:type="dxa"/>
            <w:vAlign w:val="center"/>
          </w:tcPr>
          <w:p w:rsidR="000F7FAD" w:rsidRDefault="00BB4424">
            <w:pPr>
              <w:spacing w:line="300" w:lineRule="exact"/>
              <w:jc w:val="center"/>
              <w:rPr>
                <w:rFonts w:ascii="仿宋_GB2312"/>
                <w:sz w:val="24"/>
              </w:rPr>
            </w:pPr>
            <w:r>
              <w:rPr>
                <w:rFonts w:ascii="仿宋_GB2312" w:hAnsi="黑体" w:hint="eastAsia"/>
                <w:sz w:val="24"/>
              </w:rPr>
              <w:t>谢岗</w:t>
            </w:r>
          </w:p>
        </w:tc>
        <w:tc>
          <w:tcPr>
            <w:tcW w:w="1188" w:type="dxa"/>
            <w:vAlign w:val="center"/>
          </w:tcPr>
          <w:p w:rsidR="000F7FAD" w:rsidRDefault="00BB4424">
            <w:pPr>
              <w:spacing w:line="300" w:lineRule="exact"/>
              <w:jc w:val="center"/>
              <w:rPr>
                <w:sz w:val="24"/>
              </w:rPr>
            </w:pPr>
            <w:r>
              <w:rPr>
                <w:rFonts w:hint="eastAsia"/>
                <w:sz w:val="24"/>
              </w:rPr>
              <w:t>104029</w:t>
            </w:r>
          </w:p>
        </w:tc>
        <w:tc>
          <w:tcPr>
            <w:tcW w:w="1485" w:type="dxa"/>
            <w:vAlign w:val="center"/>
          </w:tcPr>
          <w:p w:rsidR="000F7FAD" w:rsidRDefault="00BB4424">
            <w:pPr>
              <w:spacing w:line="300" w:lineRule="exact"/>
              <w:jc w:val="center"/>
              <w:rPr>
                <w:rFonts w:eastAsia="宋体"/>
                <w:sz w:val="24"/>
              </w:rPr>
            </w:pPr>
            <w:r>
              <w:rPr>
                <w:sz w:val="24"/>
              </w:rPr>
              <w:t>75</w:t>
            </w:r>
          </w:p>
        </w:tc>
        <w:tc>
          <w:tcPr>
            <w:tcW w:w="1275" w:type="dxa"/>
            <w:vAlign w:val="center"/>
          </w:tcPr>
          <w:p w:rsidR="000F7FAD" w:rsidRDefault="00BB4424">
            <w:pPr>
              <w:spacing w:line="300" w:lineRule="exact"/>
              <w:jc w:val="center"/>
              <w:rPr>
                <w:rFonts w:eastAsia="宋体"/>
                <w:sz w:val="24"/>
              </w:rPr>
            </w:pPr>
            <w:r>
              <w:rPr>
                <w:sz w:val="24"/>
              </w:rPr>
              <w:t>633</w:t>
            </w:r>
          </w:p>
        </w:tc>
        <w:tc>
          <w:tcPr>
            <w:tcW w:w="1418" w:type="dxa"/>
            <w:vAlign w:val="center"/>
          </w:tcPr>
          <w:p w:rsidR="000F7FAD" w:rsidRDefault="00BB4424">
            <w:pPr>
              <w:spacing w:line="300" w:lineRule="exact"/>
              <w:jc w:val="center"/>
              <w:rPr>
                <w:sz w:val="24"/>
              </w:rPr>
            </w:pPr>
            <w:r>
              <w:rPr>
                <w:rFonts w:hint="eastAsia"/>
                <w:sz w:val="24"/>
              </w:rPr>
              <w:t>&gt;</w:t>
            </w:r>
            <w:r>
              <w:rPr>
                <w:sz w:val="24"/>
              </w:rPr>
              <w:t>7</w:t>
            </w:r>
            <w:r>
              <w:rPr>
                <w:rFonts w:hint="eastAsia"/>
                <w:sz w:val="24"/>
              </w:rPr>
              <w:t>8</w:t>
            </w:r>
            <w:r>
              <w:rPr>
                <w:sz w:val="24"/>
              </w:rPr>
              <w:t>%</w:t>
            </w:r>
          </w:p>
        </w:tc>
        <w:tc>
          <w:tcPr>
            <w:tcW w:w="1417" w:type="dxa"/>
            <w:vAlign w:val="center"/>
          </w:tcPr>
          <w:p w:rsidR="000F7FAD" w:rsidRDefault="00BB4424">
            <w:pPr>
              <w:spacing w:line="300" w:lineRule="exact"/>
              <w:jc w:val="center"/>
              <w:rPr>
                <w:sz w:val="24"/>
              </w:rPr>
            </w:pPr>
            <w:r>
              <w:rPr>
                <w:rFonts w:hint="eastAsia"/>
                <w:sz w:val="24"/>
              </w:rPr>
              <w:t>&gt;</w:t>
            </w:r>
            <w:r>
              <w:rPr>
                <w:sz w:val="24"/>
              </w:rPr>
              <w:t>9</w:t>
            </w:r>
            <w:r>
              <w:rPr>
                <w:rFonts w:hint="eastAsia"/>
                <w:sz w:val="24"/>
              </w:rPr>
              <w:t>6</w:t>
            </w:r>
            <w:r>
              <w:rPr>
                <w:sz w:val="24"/>
              </w:rPr>
              <w:t>%</w:t>
            </w:r>
          </w:p>
        </w:tc>
        <w:tc>
          <w:tcPr>
            <w:tcW w:w="1701" w:type="dxa"/>
            <w:vAlign w:val="center"/>
          </w:tcPr>
          <w:p w:rsidR="000F7FAD" w:rsidRDefault="00BB4424">
            <w:pPr>
              <w:spacing w:line="300" w:lineRule="exact"/>
              <w:jc w:val="center"/>
              <w:rPr>
                <w:sz w:val="24"/>
              </w:rPr>
            </w:pPr>
            <w:r>
              <w:rPr>
                <w:rFonts w:hint="eastAsia"/>
                <w:sz w:val="24"/>
              </w:rPr>
              <w:t>100</w:t>
            </w:r>
            <w:r>
              <w:rPr>
                <w:sz w:val="24"/>
              </w:rPr>
              <w:t>%</w:t>
            </w:r>
          </w:p>
        </w:tc>
      </w:tr>
      <w:tr w:rsidR="000F7FAD">
        <w:trPr>
          <w:trHeight w:val="276"/>
          <w:jc w:val="center"/>
        </w:trPr>
        <w:tc>
          <w:tcPr>
            <w:tcW w:w="708" w:type="dxa"/>
            <w:vAlign w:val="center"/>
          </w:tcPr>
          <w:p w:rsidR="000F7FAD" w:rsidRDefault="00BB4424">
            <w:pPr>
              <w:spacing w:line="300" w:lineRule="exact"/>
              <w:jc w:val="center"/>
              <w:rPr>
                <w:rFonts w:eastAsia="黑体"/>
                <w:sz w:val="24"/>
              </w:rPr>
            </w:pPr>
            <w:r>
              <w:rPr>
                <w:rFonts w:eastAsia="黑体"/>
                <w:sz w:val="24"/>
              </w:rPr>
              <w:t>25</w:t>
            </w:r>
          </w:p>
        </w:tc>
        <w:tc>
          <w:tcPr>
            <w:tcW w:w="1014" w:type="dxa"/>
            <w:vAlign w:val="center"/>
          </w:tcPr>
          <w:p w:rsidR="000F7FAD" w:rsidRDefault="00BB4424">
            <w:pPr>
              <w:spacing w:line="300" w:lineRule="exact"/>
              <w:jc w:val="center"/>
              <w:rPr>
                <w:rFonts w:ascii="仿宋_GB2312"/>
                <w:sz w:val="24"/>
              </w:rPr>
            </w:pPr>
            <w:r>
              <w:rPr>
                <w:rFonts w:ascii="仿宋_GB2312" w:hAnsi="黑体" w:hint="eastAsia"/>
                <w:sz w:val="24"/>
              </w:rPr>
              <w:t>清溪</w:t>
            </w:r>
          </w:p>
        </w:tc>
        <w:tc>
          <w:tcPr>
            <w:tcW w:w="1188" w:type="dxa"/>
            <w:vAlign w:val="center"/>
          </w:tcPr>
          <w:p w:rsidR="000F7FAD" w:rsidRDefault="00BB4424">
            <w:pPr>
              <w:spacing w:line="300" w:lineRule="exact"/>
              <w:jc w:val="center"/>
              <w:rPr>
                <w:sz w:val="24"/>
              </w:rPr>
            </w:pPr>
            <w:r>
              <w:rPr>
                <w:rFonts w:hint="eastAsia"/>
                <w:sz w:val="24"/>
              </w:rPr>
              <w:t>337417</w:t>
            </w:r>
          </w:p>
        </w:tc>
        <w:tc>
          <w:tcPr>
            <w:tcW w:w="1485" w:type="dxa"/>
            <w:vAlign w:val="center"/>
          </w:tcPr>
          <w:p w:rsidR="000F7FAD" w:rsidRDefault="00BB4424">
            <w:pPr>
              <w:spacing w:line="300" w:lineRule="exact"/>
              <w:jc w:val="center"/>
              <w:rPr>
                <w:rFonts w:eastAsia="宋体"/>
                <w:sz w:val="24"/>
              </w:rPr>
            </w:pPr>
            <w:r>
              <w:rPr>
                <w:sz w:val="24"/>
              </w:rPr>
              <w:t>317</w:t>
            </w:r>
          </w:p>
        </w:tc>
        <w:tc>
          <w:tcPr>
            <w:tcW w:w="1275" w:type="dxa"/>
            <w:vAlign w:val="center"/>
          </w:tcPr>
          <w:p w:rsidR="000F7FAD" w:rsidRDefault="00BB4424">
            <w:pPr>
              <w:spacing w:line="300" w:lineRule="exact"/>
              <w:jc w:val="center"/>
              <w:rPr>
                <w:rFonts w:eastAsia="宋体"/>
                <w:sz w:val="24"/>
              </w:rPr>
            </w:pPr>
            <w:r>
              <w:rPr>
                <w:sz w:val="24"/>
              </w:rPr>
              <w:t>2669</w:t>
            </w:r>
          </w:p>
        </w:tc>
        <w:tc>
          <w:tcPr>
            <w:tcW w:w="1418" w:type="dxa"/>
            <w:vAlign w:val="center"/>
          </w:tcPr>
          <w:p w:rsidR="000F7FAD" w:rsidRDefault="00BB4424">
            <w:pPr>
              <w:spacing w:line="300" w:lineRule="exact"/>
              <w:jc w:val="center"/>
              <w:rPr>
                <w:sz w:val="24"/>
              </w:rPr>
            </w:pPr>
            <w:r>
              <w:rPr>
                <w:rFonts w:hint="eastAsia"/>
                <w:sz w:val="24"/>
              </w:rPr>
              <w:t>&gt;</w:t>
            </w:r>
            <w:r>
              <w:rPr>
                <w:sz w:val="24"/>
              </w:rPr>
              <w:t>7</w:t>
            </w:r>
            <w:r>
              <w:rPr>
                <w:rFonts w:hint="eastAsia"/>
                <w:sz w:val="24"/>
              </w:rPr>
              <w:t>8</w:t>
            </w:r>
            <w:r>
              <w:rPr>
                <w:sz w:val="24"/>
              </w:rPr>
              <w:t>%</w:t>
            </w:r>
          </w:p>
        </w:tc>
        <w:tc>
          <w:tcPr>
            <w:tcW w:w="1417" w:type="dxa"/>
            <w:vAlign w:val="center"/>
          </w:tcPr>
          <w:p w:rsidR="000F7FAD" w:rsidRDefault="00BB4424">
            <w:pPr>
              <w:spacing w:line="300" w:lineRule="exact"/>
              <w:jc w:val="center"/>
              <w:rPr>
                <w:sz w:val="24"/>
              </w:rPr>
            </w:pPr>
            <w:r>
              <w:rPr>
                <w:rFonts w:hint="eastAsia"/>
                <w:sz w:val="24"/>
              </w:rPr>
              <w:t>&gt;</w:t>
            </w:r>
            <w:r>
              <w:rPr>
                <w:sz w:val="24"/>
              </w:rPr>
              <w:t>9</w:t>
            </w:r>
            <w:r>
              <w:rPr>
                <w:rFonts w:hint="eastAsia"/>
                <w:sz w:val="24"/>
              </w:rPr>
              <w:t>6</w:t>
            </w:r>
            <w:r>
              <w:rPr>
                <w:sz w:val="24"/>
              </w:rPr>
              <w:t>%</w:t>
            </w:r>
          </w:p>
        </w:tc>
        <w:tc>
          <w:tcPr>
            <w:tcW w:w="1701" w:type="dxa"/>
            <w:vAlign w:val="center"/>
          </w:tcPr>
          <w:p w:rsidR="000F7FAD" w:rsidRDefault="00BB4424">
            <w:pPr>
              <w:spacing w:line="300" w:lineRule="exact"/>
              <w:jc w:val="center"/>
              <w:rPr>
                <w:sz w:val="24"/>
              </w:rPr>
            </w:pPr>
            <w:r>
              <w:rPr>
                <w:rFonts w:hint="eastAsia"/>
                <w:sz w:val="24"/>
              </w:rPr>
              <w:t>100</w:t>
            </w:r>
            <w:r>
              <w:rPr>
                <w:sz w:val="24"/>
              </w:rPr>
              <w:t>%</w:t>
            </w:r>
          </w:p>
        </w:tc>
      </w:tr>
      <w:tr w:rsidR="000F7FAD">
        <w:trPr>
          <w:trHeight w:val="276"/>
          <w:jc w:val="center"/>
        </w:trPr>
        <w:tc>
          <w:tcPr>
            <w:tcW w:w="708" w:type="dxa"/>
            <w:vAlign w:val="center"/>
          </w:tcPr>
          <w:p w:rsidR="000F7FAD" w:rsidRDefault="00BB4424">
            <w:pPr>
              <w:spacing w:line="300" w:lineRule="exact"/>
              <w:jc w:val="center"/>
              <w:rPr>
                <w:rFonts w:eastAsia="黑体"/>
                <w:sz w:val="24"/>
              </w:rPr>
            </w:pPr>
            <w:r>
              <w:rPr>
                <w:rFonts w:eastAsia="黑体"/>
                <w:sz w:val="24"/>
              </w:rPr>
              <w:t>26</w:t>
            </w:r>
          </w:p>
        </w:tc>
        <w:tc>
          <w:tcPr>
            <w:tcW w:w="1014" w:type="dxa"/>
            <w:vAlign w:val="center"/>
          </w:tcPr>
          <w:p w:rsidR="000F7FAD" w:rsidRDefault="00BB4424">
            <w:pPr>
              <w:spacing w:line="300" w:lineRule="exact"/>
              <w:jc w:val="center"/>
              <w:rPr>
                <w:rFonts w:ascii="仿宋_GB2312"/>
                <w:sz w:val="24"/>
              </w:rPr>
            </w:pPr>
            <w:r>
              <w:rPr>
                <w:rFonts w:ascii="仿宋_GB2312" w:hAnsi="黑体" w:hint="eastAsia"/>
                <w:sz w:val="24"/>
              </w:rPr>
              <w:t>常平</w:t>
            </w:r>
          </w:p>
        </w:tc>
        <w:tc>
          <w:tcPr>
            <w:tcW w:w="1188" w:type="dxa"/>
            <w:vAlign w:val="center"/>
          </w:tcPr>
          <w:p w:rsidR="000F7FAD" w:rsidRDefault="00BB4424">
            <w:pPr>
              <w:spacing w:line="300" w:lineRule="exact"/>
              <w:jc w:val="center"/>
              <w:rPr>
                <w:sz w:val="24"/>
              </w:rPr>
            </w:pPr>
            <w:r>
              <w:rPr>
                <w:rFonts w:hint="eastAsia"/>
                <w:sz w:val="24"/>
              </w:rPr>
              <w:t>435996</w:t>
            </w:r>
          </w:p>
        </w:tc>
        <w:tc>
          <w:tcPr>
            <w:tcW w:w="1485" w:type="dxa"/>
            <w:vAlign w:val="center"/>
          </w:tcPr>
          <w:p w:rsidR="000F7FAD" w:rsidRDefault="00BB4424">
            <w:pPr>
              <w:spacing w:line="300" w:lineRule="exact"/>
              <w:jc w:val="center"/>
              <w:rPr>
                <w:rFonts w:eastAsia="宋体"/>
                <w:sz w:val="24"/>
              </w:rPr>
            </w:pPr>
            <w:r>
              <w:rPr>
                <w:sz w:val="24"/>
              </w:rPr>
              <w:t>283</w:t>
            </w:r>
          </w:p>
        </w:tc>
        <w:tc>
          <w:tcPr>
            <w:tcW w:w="1275" w:type="dxa"/>
            <w:vAlign w:val="center"/>
          </w:tcPr>
          <w:p w:rsidR="000F7FAD" w:rsidRDefault="00BB4424">
            <w:pPr>
              <w:spacing w:line="300" w:lineRule="exact"/>
              <w:jc w:val="center"/>
              <w:rPr>
                <w:rFonts w:eastAsia="宋体"/>
                <w:sz w:val="24"/>
              </w:rPr>
            </w:pPr>
            <w:r>
              <w:rPr>
                <w:sz w:val="24"/>
              </w:rPr>
              <w:t>2387</w:t>
            </w:r>
          </w:p>
        </w:tc>
        <w:tc>
          <w:tcPr>
            <w:tcW w:w="1418" w:type="dxa"/>
            <w:vAlign w:val="center"/>
          </w:tcPr>
          <w:p w:rsidR="000F7FAD" w:rsidRDefault="00BB4424">
            <w:pPr>
              <w:spacing w:line="300" w:lineRule="exact"/>
              <w:jc w:val="center"/>
              <w:rPr>
                <w:sz w:val="24"/>
              </w:rPr>
            </w:pPr>
            <w:r>
              <w:rPr>
                <w:rFonts w:hint="eastAsia"/>
                <w:sz w:val="24"/>
              </w:rPr>
              <w:t>&gt;</w:t>
            </w:r>
            <w:r>
              <w:rPr>
                <w:sz w:val="24"/>
              </w:rPr>
              <w:t>7</w:t>
            </w:r>
            <w:r>
              <w:rPr>
                <w:rFonts w:hint="eastAsia"/>
                <w:sz w:val="24"/>
              </w:rPr>
              <w:t>8</w:t>
            </w:r>
            <w:r>
              <w:rPr>
                <w:sz w:val="24"/>
              </w:rPr>
              <w:t>%</w:t>
            </w:r>
          </w:p>
        </w:tc>
        <w:tc>
          <w:tcPr>
            <w:tcW w:w="1417" w:type="dxa"/>
            <w:vAlign w:val="center"/>
          </w:tcPr>
          <w:p w:rsidR="000F7FAD" w:rsidRDefault="00BB4424">
            <w:pPr>
              <w:spacing w:line="300" w:lineRule="exact"/>
              <w:jc w:val="center"/>
              <w:rPr>
                <w:sz w:val="24"/>
              </w:rPr>
            </w:pPr>
            <w:r>
              <w:rPr>
                <w:rFonts w:hint="eastAsia"/>
                <w:sz w:val="24"/>
              </w:rPr>
              <w:t>&gt;</w:t>
            </w:r>
            <w:r>
              <w:rPr>
                <w:sz w:val="24"/>
              </w:rPr>
              <w:t>9</w:t>
            </w:r>
            <w:r>
              <w:rPr>
                <w:rFonts w:hint="eastAsia"/>
                <w:sz w:val="24"/>
              </w:rPr>
              <w:t>6</w:t>
            </w:r>
            <w:r>
              <w:rPr>
                <w:sz w:val="24"/>
              </w:rPr>
              <w:t>%</w:t>
            </w:r>
          </w:p>
        </w:tc>
        <w:tc>
          <w:tcPr>
            <w:tcW w:w="1701" w:type="dxa"/>
            <w:vAlign w:val="center"/>
          </w:tcPr>
          <w:p w:rsidR="000F7FAD" w:rsidRDefault="00BB4424">
            <w:pPr>
              <w:spacing w:line="300" w:lineRule="exact"/>
              <w:jc w:val="center"/>
              <w:rPr>
                <w:sz w:val="24"/>
              </w:rPr>
            </w:pPr>
            <w:r>
              <w:rPr>
                <w:rFonts w:hint="eastAsia"/>
                <w:sz w:val="24"/>
              </w:rPr>
              <w:t>100</w:t>
            </w:r>
            <w:r>
              <w:rPr>
                <w:sz w:val="24"/>
              </w:rPr>
              <w:t>%</w:t>
            </w:r>
          </w:p>
        </w:tc>
      </w:tr>
      <w:tr w:rsidR="000F7FAD">
        <w:trPr>
          <w:trHeight w:val="291"/>
          <w:jc w:val="center"/>
        </w:trPr>
        <w:tc>
          <w:tcPr>
            <w:tcW w:w="708" w:type="dxa"/>
            <w:vAlign w:val="center"/>
          </w:tcPr>
          <w:p w:rsidR="000F7FAD" w:rsidRDefault="00BB4424">
            <w:pPr>
              <w:spacing w:line="300" w:lineRule="exact"/>
              <w:jc w:val="center"/>
              <w:rPr>
                <w:rFonts w:eastAsia="黑体"/>
                <w:sz w:val="24"/>
              </w:rPr>
            </w:pPr>
            <w:r>
              <w:rPr>
                <w:rFonts w:eastAsia="黑体"/>
                <w:sz w:val="24"/>
              </w:rPr>
              <w:t>27</w:t>
            </w:r>
          </w:p>
        </w:tc>
        <w:tc>
          <w:tcPr>
            <w:tcW w:w="1014" w:type="dxa"/>
            <w:vAlign w:val="center"/>
          </w:tcPr>
          <w:p w:rsidR="000F7FAD" w:rsidRDefault="00BB4424">
            <w:pPr>
              <w:spacing w:line="300" w:lineRule="exact"/>
              <w:jc w:val="center"/>
              <w:rPr>
                <w:rFonts w:ascii="仿宋_GB2312"/>
                <w:sz w:val="24"/>
              </w:rPr>
            </w:pPr>
            <w:r>
              <w:rPr>
                <w:rFonts w:ascii="仿宋_GB2312" w:hAnsi="黑体" w:hint="eastAsia"/>
                <w:sz w:val="24"/>
              </w:rPr>
              <w:t>桥头</w:t>
            </w:r>
          </w:p>
        </w:tc>
        <w:tc>
          <w:tcPr>
            <w:tcW w:w="1188" w:type="dxa"/>
            <w:vAlign w:val="center"/>
          </w:tcPr>
          <w:p w:rsidR="000F7FAD" w:rsidRDefault="00BB4424">
            <w:pPr>
              <w:spacing w:line="300" w:lineRule="exact"/>
              <w:jc w:val="center"/>
              <w:rPr>
                <w:sz w:val="24"/>
              </w:rPr>
            </w:pPr>
            <w:r>
              <w:rPr>
                <w:rFonts w:hint="eastAsia"/>
                <w:sz w:val="24"/>
              </w:rPr>
              <w:t>203148</w:t>
            </w:r>
          </w:p>
        </w:tc>
        <w:tc>
          <w:tcPr>
            <w:tcW w:w="1485" w:type="dxa"/>
            <w:vAlign w:val="center"/>
          </w:tcPr>
          <w:p w:rsidR="000F7FAD" w:rsidRDefault="00BB4424">
            <w:pPr>
              <w:spacing w:line="300" w:lineRule="exact"/>
              <w:jc w:val="center"/>
              <w:rPr>
                <w:rFonts w:eastAsia="宋体"/>
                <w:sz w:val="24"/>
              </w:rPr>
            </w:pPr>
            <w:r>
              <w:rPr>
                <w:sz w:val="24"/>
              </w:rPr>
              <w:t>154</w:t>
            </w:r>
          </w:p>
        </w:tc>
        <w:tc>
          <w:tcPr>
            <w:tcW w:w="1275" w:type="dxa"/>
            <w:vAlign w:val="center"/>
          </w:tcPr>
          <w:p w:rsidR="000F7FAD" w:rsidRDefault="00BB4424">
            <w:pPr>
              <w:spacing w:line="300" w:lineRule="exact"/>
              <w:jc w:val="center"/>
              <w:rPr>
                <w:rFonts w:eastAsia="宋体"/>
                <w:sz w:val="24"/>
              </w:rPr>
            </w:pPr>
            <w:r>
              <w:rPr>
                <w:sz w:val="24"/>
              </w:rPr>
              <w:t>1301</w:t>
            </w:r>
          </w:p>
        </w:tc>
        <w:tc>
          <w:tcPr>
            <w:tcW w:w="1418" w:type="dxa"/>
            <w:vAlign w:val="center"/>
          </w:tcPr>
          <w:p w:rsidR="000F7FAD" w:rsidRDefault="00BB4424">
            <w:pPr>
              <w:spacing w:line="300" w:lineRule="exact"/>
              <w:jc w:val="center"/>
              <w:rPr>
                <w:sz w:val="24"/>
              </w:rPr>
            </w:pPr>
            <w:r>
              <w:rPr>
                <w:rFonts w:hint="eastAsia"/>
                <w:sz w:val="24"/>
              </w:rPr>
              <w:t>&gt;</w:t>
            </w:r>
            <w:r>
              <w:rPr>
                <w:sz w:val="24"/>
              </w:rPr>
              <w:t>7</w:t>
            </w:r>
            <w:r>
              <w:rPr>
                <w:rFonts w:hint="eastAsia"/>
                <w:sz w:val="24"/>
              </w:rPr>
              <w:t>8</w:t>
            </w:r>
            <w:r>
              <w:rPr>
                <w:sz w:val="24"/>
              </w:rPr>
              <w:t>%</w:t>
            </w:r>
          </w:p>
        </w:tc>
        <w:tc>
          <w:tcPr>
            <w:tcW w:w="1417" w:type="dxa"/>
            <w:vAlign w:val="center"/>
          </w:tcPr>
          <w:p w:rsidR="000F7FAD" w:rsidRDefault="00BB4424">
            <w:pPr>
              <w:spacing w:line="300" w:lineRule="exact"/>
              <w:jc w:val="center"/>
              <w:rPr>
                <w:sz w:val="24"/>
              </w:rPr>
            </w:pPr>
            <w:r>
              <w:rPr>
                <w:rFonts w:hint="eastAsia"/>
                <w:sz w:val="24"/>
              </w:rPr>
              <w:t>&gt;</w:t>
            </w:r>
            <w:r>
              <w:rPr>
                <w:sz w:val="24"/>
              </w:rPr>
              <w:t>9</w:t>
            </w:r>
            <w:r>
              <w:rPr>
                <w:rFonts w:hint="eastAsia"/>
                <w:sz w:val="24"/>
              </w:rPr>
              <w:t>6</w:t>
            </w:r>
            <w:r>
              <w:rPr>
                <w:sz w:val="24"/>
              </w:rPr>
              <w:t>%</w:t>
            </w:r>
          </w:p>
        </w:tc>
        <w:tc>
          <w:tcPr>
            <w:tcW w:w="1701" w:type="dxa"/>
            <w:vAlign w:val="center"/>
          </w:tcPr>
          <w:p w:rsidR="000F7FAD" w:rsidRDefault="00BB4424">
            <w:pPr>
              <w:spacing w:line="300" w:lineRule="exact"/>
              <w:jc w:val="center"/>
              <w:rPr>
                <w:sz w:val="24"/>
              </w:rPr>
            </w:pPr>
            <w:r>
              <w:rPr>
                <w:rFonts w:hint="eastAsia"/>
                <w:sz w:val="24"/>
              </w:rPr>
              <w:t>100</w:t>
            </w:r>
            <w:r>
              <w:rPr>
                <w:sz w:val="24"/>
              </w:rPr>
              <w:t>%</w:t>
            </w:r>
          </w:p>
        </w:tc>
      </w:tr>
      <w:tr w:rsidR="000F7FAD">
        <w:trPr>
          <w:trHeight w:val="276"/>
          <w:jc w:val="center"/>
        </w:trPr>
        <w:tc>
          <w:tcPr>
            <w:tcW w:w="708" w:type="dxa"/>
            <w:vAlign w:val="center"/>
          </w:tcPr>
          <w:p w:rsidR="000F7FAD" w:rsidRDefault="00BB4424">
            <w:pPr>
              <w:spacing w:line="300" w:lineRule="exact"/>
              <w:jc w:val="center"/>
              <w:rPr>
                <w:rFonts w:eastAsia="黑体"/>
                <w:sz w:val="24"/>
              </w:rPr>
            </w:pPr>
            <w:r>
              <w:rPr>
                <w:rFonts w:eastAsia="黑体"/>
                <w:sz w:val="24"/>
              </w:rPr>
              <w:t>28</w:t>
            </w:r>
          </w:p>
        </w:tc>
        <w:tc>
          <w:tcPr>
            <w:tcW w:w="1014" w:type="dxa"/>
            <w:vAlign w:val="center"/>
          </w:tcPr>
          <w:p w:rsidR="000F7FAD" w:rsidRDefault="00BB4424">
            <w:pPr>
              <w:spacing w:line="300" w:lineRule="exact"/>
              <w:jc w:val="center"/>
              <w:rPr>
                <w:rFonts w:ascii="仿宋_GB2312"/>
                <w:sz w:val="24"/>
              </w:rPr>
            </w:pPr>
            <w:r>
              <w:rPr>
                <w:rFonts w:ascii="仿宋_GB2312" w:hAnsi="黑体" w:hint="eastAsia"/>
                <w:sz w:val="24"/>
              </w:rPr>
              <w:t>横沥</w:t>
            </w:r>
          </w:p>
        </w:tc>
        <w:tc>
          <w:tcPr>
            <w:tcW w:w="1188" w:type="dxa"/>
            <w:vAlign w:val="center"/>
          </w:tcPr>
          <w:p w:rsidR="000F7FAD" w:rsidRDefault="00BB4424">
            <w:pPr>
              <w:spacing w:line="300" w:lineRule="exact"/>
              <w:jc w:val="center"/>
              <w:rPr>
                <w:sz w:val="24"/>
              </w:rPr>
            </w:pPr>
            <w:r>
              <w:rPr>
                <w:rFonts w:hint="eastAsia"/>
                <w:sz w:val="24"/>
              </w:rPr>
              <w:t>273281</w:t>
            </w:r>
          </w:p>
        </w:tc>
        <w:tc>
          <w:tcPr>
            <w:tcW w:w="1485" w:type="dxa"/>
            <w:vAlign w:val="center"/>
          </w:tcPr>
          <w:p w:rsidR="000F7FAD" w:rsidRDefault="00BB4424">
            <w:pPr>
              <w:spacing w:line="300" w:lineRule="exact"/>
              <w:jc w:val="center"/>
              <w:rPr>
                <w:rFonts w:eastAsia="宋体"/>
                <w:sz w:val="24"/>
              </w:rPr>
            </w:pPr>
            <w:r>
              <w:rPr>
                <w:sz w:val="24"/>
              </w:rPr>
              <w:t>182</w:t>
            </w:r>
          </w:p>
        </w:tc>
        <w:tc>
          <w:tcPr>
            <w:tcW w:w="1275" w:type="dxa"/>
            <w:vAlign w:val="center"/>
          </w:tcPr>
          <w:p w:rsidR="000F7FAD" w:rsidRDefault="00BB4424">
            <w:pPr>
              <w:spacing w:line="300" w:lineRule="exact"/>
              <w:jc w:val="center"/>
              <w:rPr>
                <w:rFonts w:eastAsia="宋体"/>
                <w:sz w:val="24"/>
              </w:rPr>
            </w:pPr>
            <w:r>
              <w:rPr>
                <w:sz w:val="24"/>
              </w:rPr>
              <w:t>1531</w:t>
            </w:r>
          </w:p>
        </w:tc>
        <w:tc>
          <w:tcPr>
            <w:tcW w:w="1418" w:type="dxa"/>
            <w:vAlign w:val="center"/>
          </w:tcPr>
          <w:p w:rsidR="000F7FAD" w:rsidRDefault="00BB4424">
            <w:pPr>
              <w:spacing w:line="300" w:lineRule="exact"/>
              <w:jc w:val="center"/>
              <w:rPr>
                <w:sz w:val="24"/>
              </w:rPr>
            </w:pPr>
            <w:r>
              <w:rPr>
                <w:rFonts w:hint="eastAsia"/>
                <w:sz w:val="24"/>
              </w:rPr>
              <w:t>&gt;</w:t>
            </w:r>
            <w:r>
              <w:rPr>
                <w:sz w:val="24"/>
              </w:rPr>
              <w:t>7</w:t>
            </w:r>
            <w:r>
              <w:rPr>
                <w:rFonts w:hint="eastAsia"/>
                <w:sz w:val="24"/>
              </w:rPr>
              <w:t>8</w:t>
            </w:r>
            <w:r>
              <w:rPr>
                <w:sz w:val="24"/>
              </w:rPr>
              <w:t>%</w:t>
            </w:r>
          </w:p>
        </w:tc>
        <w:tc>
          <w:tcPr>
            <w:tcW w:w="1417" w:type="dxa"/>
            <w:vAlign w:val="center"/>
          </w:tcPr>
          <w:p w:rsidR="000F7FAD" w:rsidRDefault="00BB4424">
            <w:pPr>
              <w:spacing w:line="300" w:lineRule="exact"/>
              <w:jc w:val="center"/>
              <w:rPr>
                <w:sz w:val="24"/>
              </w:rPr>
            </w:pPr>
            <w:r>
              <w:rPr>
                <w:rFonts w:hint="eastAsia"/>
                <w:sz w:val="24"/>
              </w:rPr>
              <w:t>&gt;</w:t>
            </w:r>
            <w:r>
              <w:rPr>
                <w:sz w:val="24"/>
              </w:rPr>
              <w:t>9</w:t>
            </w:r>
            <w:r>
              <w:rPr>
                <w:rFonts w:hint="eastAsia"/>
                <w:sz w:val="24"/>
              </w:rPr>
              <w:t>6</w:t>
            </w:r>
            <w:r>
              <w:rPr>
                <w:sz w:val="24"/>
              </w:rPr>
              <w:t>%</w:t>
            </w:r>
          </w:p>
        </w:tc>
        <w:tc>
          <w:tcPr>
            <w:tcW w:w="1701" w:type="dxa"/>
            <w:vAlign w:val="center"/>
          </w:tcPr>
          <w:p w:rsidR="000F7FAD" w:rsidRDefault="00BB4424">
            <w:pPr>
              <w:spacing w:line="300" w:lineRule="exact"/>
              <w:jc w:val="center"/>
              <w:rPr>
                <w:sz w:val="24"/>
              </w:rPr>
            </w:pPr>
            <w:r>
              <w:rPr>
                <w:rFonts w:hint="eastAsia"/>
                <w:sz w:val="24"/>
              </w:rPr>
              <w:t>100</w:t>
            </w:r>
            <w:r>
              <w:rPr>
                <w:sz w:val="24"/>
              </w:rPr>
              <w:t>%</w:t>
            </w:r>
          </w:p>
        </w:tc>
      </w:tr>
      <w:tr w:rsidR="000F7FAD">
        <w:trPr>
          <w:trHeight w:val="276"/>
          <w:jc w:val="center"/>
        </w:trPr>
        <w:tc>
          <w:tcPr>
            <w:tcW w:w="708" w:type="dxa"/>
            <w:vAlign w:val="center"/>
          </w:tcPr>
          <w:p w:rsidR="000F7FAD" w:rsidRDefault="00BB4424">
            <w:pPr>
              <w:spacing w:line="300" w:lineRule="exact"/>
              <w:jc w:val="center"/>
              <w:rPr>
                <w:rFonts w:eastAsia="黑体"/>
                <w:sz w:val="24"/>
              </w:rPr>
            </w:pPr>
            <w:r>
              <w:rPr>
                <w:rFonts w:eastAsia="黑体"/>
                <w:sz w:val="24"/>
              </w:rPr>
              <w:t>29</w:t>
            </w:r>
          </w:p>
        </w:tc>
        <w:tc>
          <w:tcPr>
            <w:tcW w:w="1014" w:type="dxa"/>
            <w:vAlign w:val="center"/>
          </w:tcPr>
          <w:p w:rsidR="000F7FAD" w:rsidRDefault="00BB4424">
            <w:pPr>
              <w:spacing w:line="300" w:lineRule="exact"/>
              <w:jc w:val="center"/>
              <w:rPr>
                <w:rFonts w:ascii="仿宋_GB2312"/>
                <w:sz w:val="24"/>
              </w:rPr>
            </w:pPr>
            <w:r>
              <w:rPr>
                <w:rFonts w:ascii="仿宋_GB2312" w:hAnsi="黑体" w:hint="eastAsia"/>
                <w:sz w:val="24"/>
              </w:rPr>
              <w:t>东坑</w:t>
            </w:r>
          </w:p>
        </w:tc>
        <w:tc>
          <w:tcPr>
            <w:tcW w:w="1188" w:type="dxa"/>
            <w:vAlign w:val="center"/>
          </w:tcPr>
          <w:p w:rsidR="000F7FAD" w:rsidRDefault="00BB4424">
            <w:pPr>
              <w:spacing w:line="300" w:lineRule="exact"/>
              <w:jc w:val="center"/>
              <w:rPr>
                <w:sz w:val="24"/>
              </w:rPr>
            </w:pPr>
            <w:r>
              <w:rPr>
                <w:rFonts w:hint="eastAsia"/>
                <w:sz w:val="24"/>
              </w:rPr>
              <w:t>184119</w:t>
            </w:r>
          </w:p>
        </w:tc>
        <w:tc>
          <w:tcPr>
            <w:tcW w:w="1485" w:type="dxa"/>
            <w:vAlign w:val="center"/>
          </w:tcPr>
          <w:p w:rsidR="000F7FAD" w:rsidRDefault="00BB4424">
            <w:pPr>
              <w:spacing w:line="300" w:lineRule="exact"/>
              <w:jc w:val="center"/>
              <w:rPr>
                <w:rFonts w:eastAsia="宋体"/>
                <w:sz w:val="24"/>
              </w:rPr>
            </w:pPr>
            <w:r>
              <w:rPr>
                <w:sz w:val="24"/>
              </w:rPr>
              <w:t>158</w:t>
            </w:r>
          </w:p>
        </w:tc>
        <w:tc>
          <w:tcPr>
            <w:tcW w:w="1275" w:type="dxa"/>
            <w:vAlign w:val="center"/>
          </w:tcPr>
          <w:p w:rsidR="000F7FAD" w:rsidRDefault="00BB4424">
            <w:pPr>
              <w:spacing w:line="300" w:lineRule="exact"/>
              <w:jc w:val="center"/>
              <w:rPr>
                <w:rFonts w:eastAsia="宋体"/>
                <w:sz w:val="24"/>
              </w:rPr>
            </w:pPr>
            <w:r>
              <w:rPr>
                <w:sz w:val="24"/>
              </w:rPr>
              <w:t>1334</w:t>
            </w:r>
          </w:p>
        </w:tc>
        <w:tc>
          <w:tcPr>
            <w:tcW w:w="1418" w:type="dxa"/>
            <w:vAlign w:val="center"/>
          </w:tcPr>
          <w:p w:rsidR="000F7FAD" w:rsidRDefault="00BB4424">
            <w:pPr>
              <w:spacing w:line="300" w:lineRule="exact"/>
              <w:jc w:val="center"/>
              <w:rPr>
                <w:sz w:val="24"/>
              </w:rPr>
            </w:pPr>
            <w:r>
              <w:rPr>
                <w:rFonts w:hint="eastAsia"/>
                <w:sz w:val="24"/>
              </w:rPr>
              <w:t>&gt;</w:t>
            </w:r>
            <w:r>
              <w:rPr>
                <w:sz w:val="24"/>
              </w:rPr>
              <w:t>7</w:t>
            </w:r>
            <w:r>
              <w:rPr>
                <w:rFonts w:hint="eastAsia"/>
                <w:sz w:val="24"/>
              </w:rPr>
              <w:t>8</w:t>
            </w:r>
            <w:r>
              <w:rPr>
                <w:sz w:val="24"/>
              </w:rPr>
              <w:t>%</w:t>
            </w:r>
          </w:p>
        </w:tc>
        <w:tc>
          <w:tcPr>
            <w:tcW w:w="1417" w:type="dxa"/>
            <w:vAlign w:val="center"/>
          </w:tcPr>
          <w:p w:rsidR="000F7FAD" w:rsidRDefault="00BB4424">
            <w:pPr>
              <w:spacing w:line="300" w:lineRule="exact"/>
              <w:jc w:val="center"/>
              <w:rPr>
                <w:sz w:val="24"/>
              </w:rPr>
            </w:pPr>
            <w:r>
              <w:rPr>
                <w:rFonts w:hint="eastAsia"/>
                <w:sz w:val="24"/>
              </w:rPr>
              <w:t>&gt;</w:t>
            </w:r>
            <w:r>
              <w:rPr>
                <w:sz w:val="24"/>
              </w:rPr>
              <w:t>9</w:t>
            </w:r>
            <w:r>
              <w:rPr>
                <w:rFonts w:hint="eastAsia"/>
                <w:sz w:val="24"/>
              </w:rPr>
              <w:t>6</w:t>
            </w:r>
            <w:r>
              <w:rPr>
                <w:sz w:val="24"/>
              </w:rPr>
              <w:t>%</w:t>
            </w:r>
          </w:p>
        </w:tc>
        <w:tc>
          <w:tcPr>
            <w:tcW w:w="1701" w:type="dxa"/>
            <w:vAlign w:val="center"/>
          </w:tcPr>
          <w:p w:rsidR="000F7FAD" w:rsidRDefault="00BB4424">
            <w:pPr>
              <w:spacing w:line="300" w:lineRule="exact"/>
              <w:jc w:val="center"/>
              <w:rPr>
                <w:sz w:val="24"/>
              </w:rPr>
            </w:pPr>
            <w:r>
              <w:rPr>
                <w:rFonts w:hint="eastAsia"/>
                <w:sz w:val="24"/>
              </w:rPr>
              <w:t>100</w:t>
            </w:r>
            <w:r>
              <w:rPr>
                <w:sz w:val="24"/>
              </w:rPr>
              <w:t>%</w:t>
            </w:r>
          </w:p>
        </w:tc>
      </w:tr>
      <w:tr w:rsidR="000F7FAD">
        <w:trPr>
          <w:trHeight w:val="276"/>
          <w:jc w:val="center"/>
        </w:trPr>
        <w:tc>
          <w:tcPr>
            <w:tcW w:w="708" w:type="dxa"/>
            <w:vAlign w:val="center"/>
          </w:tcPr>
          <w:p w:rsidR="000F7FAD" w:rsidRDefault="00BB4424">
            <w:pPr>
              <w:spacing w:line="300" w:lineRule="exact"/>
              <w:jc w:val="center"/>
              <w:rPr>
                <w:rFonts w:eastAsia="黑体"/>
                <w:sz w:val="24"/>
              </w:rPr>
            </w:pPr>
            <w:r>
              <w:rPr>
                <w:rFonts w:eastAsia="黑体"/>
                <w:sz w:val="24"/>
              </w:rPr>
              <w:t>30</w:t>
            </w:r>
          </w:p>
        </w:tc>
        <w:tc>
          <w:tcPr>
            <w:tcW w:w="1014" w:type="dxa"/>
            <w:vAlign w:val="center"/>
          </w:tcPr>
          <w:p w:rsidR="000F7FAD" w:rsidRDefault="00BB4424">
            <w:pPr>
              <w:spacing w:line="300" w:lineRule="exact"/>
              <w:jc w:val="center"/>
              <w:rPr>
                <w:rFonts w:ascii="仿宋_GB2312"/>
                <w:sz w:val="24"/>
              </w:rPr>
            </w:pPr>
            <w:r>
              <w:rPr>
                <w:rFonts w:ascii="仿宋_GB2312" w:hAnsi="黑体" w:hint="eastAsia"/>
                <w:sz w:val="24"/>
              </w:rPr>
              <w:t>企石</w:t>
            </w:r>
          </w:p>
        </w:tc>
        <w:tc>
          <w:tcPr>
            <w:tcW w:w="1188" w:type="dxa"/>
            <w:vAlign w:val="center"/>
          </w:tcPr>
          <w:p w:rsidR="000F7FAD" w:rsidRDefault="00BB4424">
            <w:pPr>
              <w:spacing w:line="300" w:lineRule="exact"/>
              <w:jc w:val="center"/>
              <w:rPr>
                <w:sz w:val="24"/>
              </w:rPr>
            </w:pPr>
            <w:r>
              <w:rPr>
                <w:rFonts w:hint="eastAsia"/>
                <w:sz w:val="24"/>
              </w:rPr>
              <w:t>166008</w:t>
            </w:r>
          </w:p>
        </w:tc>
        <w:tc>
          <w:tcPr>
            <w:tcW w:w="1485" w:type="dxa"/>
            <w:vAlign w:val="center"/>
          </w:tcPr>
          <w:p w:rsidR="000F7FAD" w:rsidRDefault="00BB4424">
            <w:pPr>
              <w:spacing w:line="300" w:lineRule="exact"/>
              <w:jc w:val="center"/>
              <w:rPr>
                <w:rFonts w:eastAsia="宋体"/>
                <w:sz w:val="24"/>
              </w:rPr>
            </w:pPr>
            <w:r>
              <w:rPr>
                <w:sz w:val="24"/>
              </w:rPr>
              <w:t>101</w:t>
            </w:r>
          </w:p>
        </w:tc>
        <w:tc>
          <w:tcPr>
            <w:tcW w:w="1275" w:type="dxa"/>
            <w:vAlign w:val="center"/>
          </w:tcPr>
          <w:p w:rsidR="000F7FAD" w:rsidRDefault="00BB4424">
            <w:pPr>
              <w:spacing w:line="300" w:lineRule="exact"/>
              <w:jc w:val="center"/>
              <w:rPr>
                <w:rFonts w:eastAsia="宋体"/>
                <w:sz w:val="24"/>
              </w:rPr>
            </w:pPr>
            <w:r>
              <w:rPr>
                <w:sz w:val="24"/>
              </w:rPr>
              <w:t>848</w:t>
            </w:r>
          </w:p>
        </w:tc>
        <w:tc>
          <w:tcPr>
            <w:tcW w:w="1418" w:type="dxa"/>
            <w:vAlign w:val="center"/>
          </w:tcPr>
          <w:p w:rsidR="000F7FAD" w:rsidRDefault="00BB4424">
            <w:pPr>
              <w:spacing w:line="300" w:lineRule="exact"/>
              <w:jc w:val="center"/>
              <w:rPr>
                <w:sz w:val="24"/>
              </w:rPr>
            </w:pPr>
            <w:r>
              <w:rPr>
                <w:rFonts w:hint="eastAsia"/>
                <w:sz w:val="24"/>
              </w:rPr>
              <w:t>&gt;</w:t>
            </w:r>
            <w:r>
              <w:rPr>
                <w:sz w:val="24"/>
              </w:rPr>
              <w:t>7</w:t>
            </w:r>
            <w:r>
              <w:rPr>
                <w:rFonts w:hint="eastAsia"/>
                <w:sz w:val="24"/>
              </w:rPr>
              <w:t>8</w:t>
            </w:r>
            <w:r>
              <w:rPr>
                <w:sz w:val="24"/>
              </w:rPr>
              <w:t>%</w:t>
            </w:r>
          </w:p>
        </w:tc>
        <w:tc>
          <w:tcPr>
            <w:tcW w:w="1417" w:type="dxa"/>
            <w:vAlign w:val="center"/>
          </w:tcPr>
          <w:p w:rsidR="000F7FAD" w:rsidRDefault="00BB4424">
            <w:pPr>
              <w:spacing w:line="300" w:lineRule="exact"/>
              <w:jc w:val="center"/>
              <w:rPr>
                <w:sz w:val="24"/>
              </w:rPr>
            </w:pPr>
            <w:r>
              <w:rPr>
                <w:rFonts w:hint="eastAsia"/>
                <w:sz w:val="24"/>
              </w:rPr>
              <w:t>&gt;</w:t>
            </w:r>
            <w:r>
              <w:rPr>
                <w:sz w:val="24"/>
              </w:rPr>
              <w:t>9</w:t>
            </w:r>
            <w:r>
              <w:rPr>
                <w:rFonts w:hint="eastAsia"/>
                <w:sz w:val="24"/>
              </w:rPr>
              <w:t>6</w:t>
            </w:r>
            <w:r>
              <w:rPr>
                <w:sz w:val="24"/>
              </w:rPr>
              <w:t>%</w:t>
            </w:r>
          </w:p>
        </w:tc>
        <w:tc>
          <w:tcPr>
            <w:tcW w:w="1701" w:type="dxa"/>
            <w:vAlign w:val="center"/>
          </w:tcPr>
          <w:p w:rsidR="000F7FAD" w:rsidRDefault="00BB4424">
            <w:pPr>
              <w:spacing w:line="300" w:lineRule="exact"/>
              <w:jc w:val="center"/>
              <w:rPr>
                <w:sz w:val="24"/>
              </w:rPr>
            </w:pPr>
            <w:r>
              <w:rPr>
                <w:rFonts w:hint="eastAsia"/>
                <w:sz w:val="24"/>
              </w:rPr>
              <w:t>100</w:t>
            </w:r>
            <w:r>
              <w:rPr>
                <w:sz w:val="24"/>
              </w:rPr>
              <w:t>%</w:t>
            </w:r>
          </w:p>
        </w:tc>
      </w:tr>
      <w:tr w:rsidR="000F7FAD">
        <w:trPr>
          <w:trHeight w:val="291"/>
          <w:jc w:val="center"/>
        </w:trPr>
        <w:tc>
          <w:tcPr>
            <w:tcW w:w="708" w:type="dxa"/>
            <w:vAlign w:val="center"/>
          </w:tcPr>
          <w:p w:rsidR="000F7FAD" w:rsidRDefault="00BB4424">
            <w:pPr>
              <w:spacing w:line="300" w:lineRule="exact"/>
              <w:jc w:val="center"/>
              <w:rPr>
                <w:rFonts w:eastAsia="黑体"/>
                <w:sz w:val="24"/>
              </w:rPr>
            </w:pPr>
            <w:r>
              <w:rPr>
                <w:rFonts w:eastAsia="黑体"/>
                <w:sz w:val="24"/>
              </w:rPr>
              <w:t>31</w:t>
            </w:r>
          </w:p>
        </w:tc>
        <w:tc>
          <w:tcPr>
            <w:tcW w:w="1014" w:type="dxa"/>
            <w:vAlign w:val="center"/>
          </w:tcPr>
          <w:p w:rsidR="000F7FAD" w:rsidRDefault="00BB4424">
            <w:pPr>
              <w:spacing w:line="300" w:lineRule="exact"/>
              <w:jc w:val="center"/>
              <w:rPr>
                <w:rFonts w:ascii="仿宋_GB2312"/>
                <w:sz w:val="24"/>
              </w:rPr>
            </w:pPr>
            <w:r>
              <w:rPr>
                <w:rFonts w:ascii="仿宋_GB2312" w:hAnsi="黑体" w:hint="eastAsia"/>
                <w:sz w:val="24"/>
              </w:rPr>
              <w:t>石排</w:t>
            </w:r>
          </w:p>
        </w:tc>
        <w:tc>
          <w:tcPr>
            <w:tcW w:w="1188" w:type="dxa"/>
            <w:vAlign w:val="center"/>
          </w:tcPr>
          <w:p w:rsidR="000F7FAD" w:rsidRDefault="00BB4424">
            <w:pPr>
              <w:spacing w:line="300" w:lineRule="exact"/>
              <w:jc w:val="center"/>
              <w:rPr>
                <w:sz w:val="24"/>
              </w:rPr>
            </w:pPr>
            <w:r>
              <w:rPr>
                <w:rFonts w:hint="eastAsia"/>
                <w:sz w:val="24"/>
              </w:rPr>
              <w:t>230490</w:t>
            </w:r>
          </w:p>
        </w:tc>
        <w:tc>
          <w:tcPr>
            <w:tcW w:w="1485" w:type="dxa"/>
            <w:vAlign w:val="center"/>
          </w:tcPr>
          <w:p w:rsidR="000F7FAD" w:rsidRDefault="00BB4424">
            <w:pPr>
              <w:spacing w:line="300" w:lineRule="exact"/>
              <w:jc w:val="center"/>
              <w:rPr>
                <w:rFonts w:eastAsia="宋体"/>
                <w:sz w:val="24"/>
              </w:rPr>
            </w:pPr>
            <w:r>
              <w:rPr>
                <w:sz w:val="24"/>
              </w:rPr>
              <w:t>149</w:t>
            </w:r>
          </w:p>
        </w:tc>
        <w:tc>
          <w:tcPr>
            <w:tcW w:w="1275" w:type="dxa"/>
            <w:vAlign w:val="center"/>
          </w:tcPr>
          <w:p w:rsidR="000F7FAD" w:rsidRDefault="00BB4424">
            <w:pPr>
              <w:spacing w:line="300" w:lineRule="exact"/>
              <w:jc w:val="center"/>
              <w:rPr>
                <w:rFonts w:eastAsia="宋体"/>
                <w:sz w:val="24"/>
              </w:rPr>
            </w:pPr>
            <w:r>
              <w:rPr>
                <w:sz w:val="24"/>
              </w:rPr>
              <w:t>1254</w:t>
            </w:r>
          </w:p>
        </w:tc>
        <w:tc>
          <w:tcPr>
            <w:tcW w:w="1418" w:type="dxa"/>
            <w:vAlign w:val="center"/>
          </w:tcPr>
          <w:p w:rsidR="000F7FAD" w:rsidRDefault="00BB4424">
            <w:pPr>
              <w:spacing w:line="300" w:lineRule="exact"/>
              <w:jc w:val="center"/>
              <w:rPr>
                <w:sz w:val="24"/>
              </w:rPr>
            </w:pPr>
            <w:r>
              <w:rPr>
                <w:rFonts w:hint="eastAsia"/>
                <w:sz w:val="24"/>
              </w:rPr>
              <w:t>&gt;</w:t>
            </w:r>
            <w:r>
              <w:rPr>
                <w:sz w:val="24"/>
              </w:rPr>
              <w:t>7</w:t>
            </w:r>
            <w:r>
              <w:rPr>
                <w:rFonts w:hint="eastAsia"/>
                <w:sz w:val="24"/>
              </w:rPr>
              <w:t>8</w:t>
            </w:r>
            <w:r>
              <w:rPr>
                <w:sz w:val="24"/>
              </w:rPr>
              <w:t>%</w:t>
            </w:r>
          </w:p>
        </w:tc>
        <w:tc>
          <w:tcPr>
            <w:tcW w:w="1417" w:type="dxa"/>
            <w:vAlign w:val="center"/>
          </w:tcPr>
          <w:p w:rsidR="000F7FAD" w:rsidRDefault="00BB4424">
            <w:pPr>
              <w:spacing w:line="300" w:lineRule="exact"/>
              <w:jc w:val="center"/>
              <w:rPr>
                <w:sz w:val="24"/>
              </w:rPr>
            </w:pPr>
            <w:r>
              <w:rPr>
                <w:rFonts w:hint="eastAsia"/>
                <w:sz w:val="24"/>
              </w:rPr>
              <w:t>&gt;</w:t>
            </w:r>
            <w:r>
              <w:rPr>
                <w:sz w:val="24"/>
              </w:rPr>
              <w:t>9</w:t>
            </w:r>
            <w:r>
              <w:rPr>
                <w:rFonts w:hint="eastAsia"/>
                <w:sz w:val="24"/>
              </w:rPr>
              <w:t>6</w:t>
            </w:r>
            <w:r>
              <w:rPr>
                <w:sz w:val="24"/>
              </w:rPr>
              <w:t>%</w:t>
            </w:r>
          </w:p>
        </w:tc>
        <w:tc>
          <w:tcPr>
            <w:tcW w:w="1701" w:type="dxa"/>
            <w:vAlign w:val="center"/>
          </w:tcPr>
          <w:p w:rsidR="000F7FAD" w:rsidRDefault="00BB4424">
            <w:pPr>
              <w:spacing w:line="300" w:lineRule="exact"/>
              <w:jc w:val="center"/>
              <w:rPr>
                <w:sz w:val="24"/>
              </w:rPr>
            </w:pPr>
            <w:r>
              <w:rPr>
                <w:rFonts w:hint="eastAsia"/>
                <w:sz w:val="24"/>
              </w:rPr>
              <w:t>100</w:t>
            </w:r>
            <w:r>
              <w:rPr>
                <w:sz w:val="24"/>
              </w:rPr>
              <w:t>%</w:t>
            </w:r>
          </w:p>
        </w:tc>
      </w:tr>
      <w:tr w:rsidR="000F7FAD">
        <w:trPr>
          <w:trHeight w:val="276"/>
          <w:jc w:val="center"/>
        </w:trPr>
        <w:tc>
          <w:tcPr>
            <w:tcW w:w="708" w:type="dxa"/>
            <w:vAlign w:val="center"/>
          </w:tcPr>
          <w:p w:rsidR="000F7FAD" w:rsidRDefault="00BB4424">
            <w:pPr>
              <w:spacing w:line="300" w:lineRule="exact"/>
              <w:jc w:val="center"/>
              <w:rPr>
                <w:rFonts w:eastAsia="黑体"/>
                <w:sz w:val="24"/>
              </w:rPr>
            </w:pPr>
            <w:r>
              <w:rPr>
                <w:rFonts w:eastAsia="黑体"/>
                <w:sz w:val="24"/>
              </w:rPr>
              <w:t>32</w:t>
            </w:r>
          </w:p>
        </w:tc>
        <w:tc>
          <w:tcPr>
            <w:tcW w:w="1014" w:type="dxa"/>
            <w:vAlign w:val="center"/>
          </w:tcPr>
          <w:p w:rsidR="000F7FAD" w:rsidRDefault="00BB4424">
            <w:pPr>
              <w:spacing w:line="300" w:lineRule="exact"/>
              <w:jc w:val="center"/>
              <w:rPr>
                <w:rFonts w:ascii="仿宋_GB2312"/>
                <w:sz w:val="24"/>
              </w:rPr>
            </w:pPr>
            <w:r>
              <w:rPr>
                <w:rFonts w:ascii="仿宋_GB2312" w:hAnsi="黑体" w:hint="eastAsia"/>
                <w:sz w:val="24"/>
              </w:rPr>
              <w:t>茶山</w:t>
            </w:r>
          </w:p>
        </w:tc>
        <w:tc>
          <w:tcPr>
            <w:tcW w:w="1188" w:type="dxa"/>
            <w:vAlign w:val="center"/>
          </w:tcPr>
          <w:p w:rsidR="000F7FAD" w:rsidRDefault="00BB4424">
            <w:pPr>
              <w:spacing w:line="300" w:lineRule="exact"/>
              <w:jc w:val="center"/>
              <w:rPr>
                <w:sz w:val="24"/>
              </w:rPr>
            </w:pPr>
            <w:r>
              <w:rPr>
                <w:rFonts w:hint="eastAsia"/>
                <w:sz w:val="24"/>
              </w:rPr>
              <w:t>214946</w:t>
            </w:r>
          </w:p>
        </w:tc>
        <w:tc>
          <w:tcPr>
            <w:tcW w:w="1485" w:type="dxa"/>
            <w:vAlign w:val="center"/>
          </w:tcPr>
          <w:p w:rsidR="000F7FAD" w:rsidRDefault="00BB4424">
            <w:pPr>
              <w:spacing w:line="300" w:lineRule="exact"/>
              <w:jc w:val="center"/>
              <w:rPr>
                <w:rFonts w:eastAsia="宋体"/>
                <w:sz w:val="24"/>
              </w:rPr>
            </w:pPr>
            <w:r>
              <w:rPr>
                <w:sz w:val="24"/>
              </w:rPr>
              <w:t>137</w:t>
            </w:r>
          </w:p>
        </w:tc>
        <w:tc>
          <w:tcPr>
            <w:tcW w:w="1275" w:type="dxa"/>
            <w:vAlign w:val="center"/>
          </w:tcPr>
          <w:p w:rsidR="000F7FAD" w:rsidRDefault="00BB4424">
            <w:pPr>
              <w:spacing w:line="300" w:lineRule="exact"/>
              <w:jc w:val="center"/>
              <w:rPr>
                <w:rFonts w:eastAsia="宋体"/>
                <w:sz w:val="24"/>
              </w:rPr>
            </w:pPr>
            <w:r>
              <w:rPr>
                <w:sz w:val="24"/>
              </w:rPr>
              <w:t>1156</w:t>
            </w:r>
          </w:p>
        </w:tc>
        <w:tc>
          <w:tcPr>
            <w:tcW w:w="1418" w:type="dxa"/>
            <w:vAlign w:val="center"/>
          </w:tcPr>
          <w:p w:rsidR="000F7FAD" w:rsidRDefault="00BB4424">
            <w:pPr>
              <w:spacing w:line="300" w:lineRule="exact"/>
              <w:jc w:val="center"/>
              <w:rPr>
                <w:sz w:val="24"/>
              </w:rPr>
            </w:pPr>
            <w:r>
              <w:rPr>
                <w:rFonts w:hint="eastAsia"/>
                <w:sz w:val="24"/>
              </w:rPr>
              <w:t>&gt;</w:t>
            </w:r>
            <w:r>
              <w:rPr>
                <w:sz w:val="24"/>
              </w:rPr>
              <w:t>7</w:t>
            </w:r>
            <w:r>
              <w:rPr>
                <w:rFonts w:hint="eastAsia"/>
                <w:sz w:val="24"/>
              </w:rPr>
              <w:t>8</w:t>
            </w:r>
            <w:r>
              <w:rPr>
                <w:sz w:val="24"/>
              </w:rPr>
              <w:t>%</w:t>
            </w:r>
          </w:p>
        </w:tc>
        <w:tc>
          <w:tcPr>
            <w:tcW w:w="1417" w:type="dxa"/>
            <w:vAlign w:val="center"/>
          </w:tcPr>
          <w:p w:rsidR="000F7FAD" w:rsidRDefault="00BB4424">
            <w:pPr>
              <w:spacing w:line="300" w:lineRule="exact"/>
              <w:jc w:val="center"/>
              <w:rPr>
                <w:sz w:val="24"/>
              </w:rPr>
            </w:pPr>
            <w:r>
              <w:rPr>
                <w:rFonts w:hint="eastAsia"/>
                <w:sz w:val="24"/>
              </w:rPr>
              <w:t>&gt;</w:t>
            </w:r>
            <w:r>
              <w:rPr>
                <w:sz w:val="24"/>
              </w:rPr>
              <w:t>9</w:t>
            </w:r>
            <w:r>
              <w:rPr>
                <w:rFonts w:hint="eastAsia"/>
                <w:sz w:val="24"/>
              </w:rPr>
              <w:t>6</w:t>
            </w:r>
            <w:r>
              <w:rPr>
                <w:sz w:val="24"/>
              </w:rPr>
              <w:t>%</w:t>
            </w:r>
          </w:p>
        </w:tc>
        <w:tc>
          <w:tcPr>
            <w:tcW w:w="1701" w:type="dxa"/>
            <w:vAlign w:val="center"/>
          </w:tcPr>
          <w:p w:rsidR="000F7FAD" w:rsidRDefault="00BB4424">
            <w:pPr>
              <w:spacing w:line="300" w:lineRule="exact"/>
              <w:jc w:val="center"/>
              <w:rPr>
                <w:sz w:val="24"/>
              </w:rPr>
            </w:pPr>
            <w:r>
              <w:rPr>
                <w:rFonts w:hint="eastAsia"/>
                <w:sz w:val="24"/>
              </w:rPr>
              <w:t>100</w:t>
            </w:r>
            <w:r>
              <w:rPr>
                <w:sz w:val="24"/>
              </w:rPr>
              <w:t>%</w:t>
            </w:r>
          </w:p>
        </w:tc>
      </w:tr>
      <w:tr w:rsidR="000F7FAD">
        <w:trPr>
          <w:trHeight w:val="276"/>
          <w:jc w:val="center"/>
        </w:trPr>
        <w:tc>
          <w:tcPr>
            <w:tcW w:w="708" w:type="dxa"/>
            <w:vAlign w:val="center"/>
          </w:tcPr>
          <w:p w:rsidR="000F7FAD" w:rsidRDefault="00BB4424">
            <w:pPr>
              <w:spacing w:line="300" w:lineRule="exact"/>
              <w:jc w:val="center"/>
              <w:rPr>
                <w:rFonts w:eastAsia="黑体"/>
                <w:sz w:val="24"/>
              </w:rPr>
            </w:pPr>
            <w:r>
              <w:rPr>
                <w:rFonts w:eastAsia="黑体"/>
                <w:sz w:val="24"/>
              </w:rPr>
              <w:t>33</w:t>
            </w:r>
          </w:p>
        </w:tc>
        <w:tc>
          <w:tcPr>
            <w:tcW w:w="1014" w:type="dxa"/>
            <w:vAlign w:val="center"/>
          </w:tcPr>
          <w:p w:rsidR="000F7FAD" w:rsidRDefault="00BB4424">
            <w:pPr>
              <w:spacing w:line="300" w:lineRule="exact"/>
              <w:jc w:val="center"/>
              <w:rPr>
                <w:rFonts w:ascii="仿宋_GB2312"/>
                <w:sz w:val="24"/>
              </w:rPr>
            </w:pPr>
            <w:r>
              <w:rPr>
                <w:rFonts w:ascii="仿宋_GB2312" w:hAnsi="黑体" w:hint="eastAsia"/>
                <w:sz w:val="24"/>
              </w:rPr>
              <w:t>松山湖</w:t>
            </w:r>
          </w:p>
        </w:tc>
        <w:tc>
          <w:tcPr>
            <w:tcW w:w="1188" w:type="dxa"/>
            <w:vAlign w:val="center"/>
          </w:tcPr>
          <w:p w:rsidR="000F7FAD" w:rsidRDefault="00BB4424">
            <w:pPr>
              <w:spacing w:line="300" w:lineRule="exact"/>
              <w:jc w:val="center"/>
              <w:rPr>
                <w:sz w:val="24"/>
              </w:rPr>
            </w:pPr>
            <w:r>
              <w:rPr>
                <w:rFonts w:hint="eastAsia"/>
                <w:sz w:val="24"/>
              </w:rPr>
              <w:t>118350</w:t>
            </w:r>
          </w:p>
        </w:tc>
        <w:tc>
          <w:tcPr>
            <w:tcW w:w="1485" w:type="dxa"/>
            <w:vAlign w:val="center"/>
          </w:tcPr>
          <w:p w:rsidR="000F7FAD" w:rsidRDefault="00BB4424">
            <w:pPr>
              <w:spacing w:line="300" w:lineRule="exact"/>
              <w:jc w:val="center"/>
              <w:rPr>
                <w:rFonts w:eastAsia="宋体"/>
                <w:sz w:val="24"/>
              </w:rPr>
            </w:pPr>
            <w:r>
              <w:rPr>
                <w:sz w:val="24"/>
              </w:rPr>
              <w:t>234</w:t>
            </w:r>
          </w:p>
        </w:tc>
        <w:tc>
          <w:tcPr>
            <w:tcW w:w="1275" w:type="dxa"/>
            <w:vAlign w:val="center"/>
          </w:tcPr>
          <w:p w:rsidR="000F7FAD" w:rsidRDefault="00BB4424">
            <w:pPr>
              <w:spacing w:line="300" w:lineRule="exact"/>
              <w:jc w:val="center"/>
              <w:rPr>
                <w:rFonts w:eastAsia="宋体"/>
                <w:sz w:val="24"/>
              </w:rPr>
            </w:pPr>
            <w:r>
              <w:rPr>
                <w:sz w:val="24"/>
              </w:rPr>
              <w:t>1970</w:t>
            </w:r>
          </w:p>
        </w:tc>
        <w:tc>
          <w:tcPr>
            <w:tcW w:w="1418" w:type="dxa"/>
            <w:vAlign w:val="center"/>
          </w:tcPr>
          <w:p w:rsidR="000F7FAD" w:rsidRDefault="00BB4424">
            <w:pPr>
              <w:spacing w:line="300" w:lineRule="exact"/>
              <w:jc w:val="center"/>
              <w:rPr>
                <w:sz w:val="24"/>
              </w:rPr>
            </w:pPr>
            <w:r>
              <w:rPr>
                <w:rFonts w:hint="eastAsia"/>
                <w:sz w:val="24"/>
              </w:rPr>
              <w:t>&gt;</w:t>
            </w:r>
            <w:r>
              <w:rPr>
                <w:sz w:val="24"/>
              </w:rPr>
              <w:t>7</w:t>
            </w:r>
            <w:r>
              <w:rPr>
                <w:rFonts w:hint="eastAsia"/>
                <w:sz w:val="24"/>
              </w:rPr>
              <w:t>8</w:t>
            </w:r>
            <w:r>
              <w:rPr>
                <w:sz w:val="24"/>
              </w:rPr>
              <w:t>%</w:t>
            </w:r>
          </w:p>
        </w:tc>
        <w:tc>
          <w:tcPr>
            <w:tcW w:w="1417" w:type="dxa"/>
            <w:vAlign w:val="center"/>
          </w:tcPr>
          <w:p w:rsidR="000F7FAD" w:rsidRDefault="00BB4424">
            <w:pPr>
              <w:spacing w:line="300" w:lineRule="exact"/>
              <w:jc w:val="center"/>
              <w:rPr>
                <w:sz w:val="24"/>
              </w:rPr>
            </w:pPr>
            <w:r>
              <w:rPr>
                <w:rFonts w:hint="eastAsia"/>
                <w:sz w:val="24"/>
              </w:rPr>
              <w:t>&gt;</w:t>
            </w:r>
            <w:r>
              <w:rPr>
                <w:sz w:val="24"/>
              </w:rPr>
              <w:t>9</w:t>
            </w:r>
            <w:r>
              <w:rPr>
                <w:rFonts w:hint="eastAsia"/>
                <w:sz w:val="24"/>
              </w:rPr>
              <w:t>6</w:t>
            </w:r>
            <w:r>
              <w:rPr>
                <w:sz w:val="24"/>
              </w:rPr>
              <w:t>%</w:t>
            </w:r>
          </w:p>
        </w:tc>
        <w:tc>
          <w:tcPr>
            <w:tcW w:w="1701" w:type="dxa"/>
            <w:vAlign w:val="center"/>
          </w:tcPr>
          <w:p w:rsidR="000F7FAD" w:rsidRDefault="00BB4424">
            <w:pPr>
              <w:spacing w:line="300" w:lineRule="exact"/>
              <w:jc w:val="center"/>
              <w:rPr>
                <w:sz w:val="24"/>
              </w:rPr>
            </w:pPr>
            <w:r>
              <w:rPr>
                <w:rFonts w:hint="eastAsia"/>
                <w:sz w:val="24"/>
              </w:rPr>
              <w:t>100</w:t>
            </w:r>
            <w:r>
              <w:rPr>
                <w:sz w:val="24"/>
              </w:rPr>
              <w:t>%</w:t>
            </w:r>
          </w:p>
        </w:tc>
      </w:tr>
    </w:tbl>
    <w:p w:rsidR="000F7FAD" w:rsidRDefault="000F7FAD">
      <w:pPr>
        <w:tabs>
          <w:tab w:val="left" w:pos="7350"/>
          <w:tab w:val="left" w:pos="7500"/>
        </w:tabs>
        <w:topLinePunct/>
        <w:autoSpaceDE w:val="0"/>
        <w:autoSpaceDN w:val="0"/>
        <w:spacing w:line="600" w:lineRule="exact"/>
        <w:ind w:firstLine="615"/>
        <w:rPr>
          <w:rFonts w:ascii="仿宋_GB2312"/>
          <w:sz w:val="32"/>
          <w:szCs w:val="32"/>
        </w:rPr>
        <w:sectPr w:rsidR="000F7FAD">
          <w:footerReference w:type="even" r:id="rId8"/>
          <w:footerReference w:type="default" r:id="rId9"/>
          <w:pgSz w:w="11906" w:h="16838"/>
          <w:pgMar w:top="2041" w:right="1474" w:bottom="2041" w:left="1588" w:header="851" w:footer="1678" w:gutter="0"/>
          <w:cols w:space="720"/>
          <w:titlePg/>
          <w:docGrid w:type="linesAndChars" w:linePitch="560"/>
        </w:sectPr>
      </w:pPr>
    </w:p>
    <w:p w:rsidR="000F7FAD" w:rsidRDefault="000F7FAD">
      <w:pPr>
        <w:spacing w:line="600" w:lineRule="exact"/>
        <w:ind w:firstLineChars="200" w:firstLine="620"/>
        <w:textAlignment w:val="baseline"/>
        <w:rPr>
          <w:sz w:val="31"/>
          <w:szCs w:val="31"/>
        </w:rPr>
      </w:pPr>
    </w:p>
    <w:p w:rsidR="000F7FAD" w:rsidRDefault="000F7FAD">
      <w:pPr>
        <w:spacing w:line="600" w:lineRule="exact"/>
        <w:ind w:firstLineChars="200" w:firstLine="620"/>
        <w:textAlignment w:val="baseline"/>
        <w:rPr>
          <w:sz w:val="31"/>
          <w:szCs w:val="31"/>
        </w:rPr>
      </w:pPr>
    </w:p>
    <w:p w:rsidR="000F7FAD" w:rsidRDefault="000F7FAD">
      <w:pPr>
        <w:spacing w:line="600" w:lineRule="exact"/>
        <w:ind w:firstLineChars="200" w:firstLine="620"/>
        <w:textAlignment w:val="baseline"/>
        <w:rPr>
          <w:sz w:val="31"/>
          <w:szCs w:val="31"/>
        </w:rPr>
      </w:pPr>
    </w:p>
    <w:p w:rsidR="000F7FAD" w:rsidRDefault="000F7FAD">
      <w:pPr>
        <w:spacing w:line="600" w:lineRule="exact"/>
        <w:ind w:firstLineChars="200" w:firstLine="620"/>
        <w:textAlignment w:val="baseline"/>
        <w:rPr>
          <w:sz w:val="31"/>
          <w:szCs w:val="31"/>
        </w:rPr>
      </w:pPr>
    </w:p>
    <w:p w:rsidR="000F7FAD" w:rsidRDefault="000F7FAD">
      <w:pPr>
        <w:ind w:firstLine="630"/>
        <w:rPr>
          <w:sz w:val="32"/>
          <w:szCs w:val="32"/>
        </w:rPr>
      </w:pPr>
    </w:p>
    <w:p w:rsidR="000F7FAD" w:rsidRDefault="000F7FAD">
      <w:pPr>
        <w:ind w:firstLine="630"/>
        <w:rPr>
          <w:sz w:val="32"/>
          <w:szCs w:val="32"/>
        </w:rPr>
      </w:pPr>
    </w:p>
    <w:p w:rsidR="000F7FAD" w:rsidRDefault="000F7FAD">
      <w:pPr>
        <w:ind w:firstLine="630"/>
        <w:rPr>
          <w:sz w:val="32"/>
          <w:szCs w:val="32"/>
        </w:rPr>
      </w:pPr>
    </w:p>
    <w:p w:rsidR="000F7FAD" w:rsidRDefault="000F7FAD">
      <w:pPr>
        <w:ind w:firstLine="630"/>
        <w:rPr>
          <w:sz w:val="32"/>
          <w:szCs w:val="32"/>
        </w:rPr>
      </w:pPr>
    </w:p>
    <w:p w:rsidR="000F7FAD" w:rsidRDefault="000F7FAD">
      <w:pPr>
        <w:ind w:firstLine="630"/>
        <w:rPr>
          <w:sz w:val="32"/>
          <w:szCs w:val="32"/>
        </w:rPr>
      </w:pPr>
    </w:p>
    <w:p w:rsidR="000F7FAD" w:rsidRDefault="000F7FAD">
      <w:pPr>
        <w:ind w:firstLine="630"/>
        <w:rPr>
          <w:sz w:val="32"/>
          <w:szCs w:val="32"/>
        </w:rPr>
      </w:pPr>
    </w:p>
    <w:p w:rsidR="000F7FAD" w:rsidRDefault="000F7FAD">
      <w:pPr>
        <w:ind w:firstLine="630"/>
        <w:rPr>
          <w:sz w:val="32"/>
          <w:szCs w:val="32"/>
        </w:rPr>
      </w:pPr>
    </w:p>
    <w:p w:rsidR="000F7FAD" w:rsidRDefault="000F7FAD">
      <w:pPr>
        <w:ind w:firstLine="630"/>
        <w:rPr>
          <w:sz w:val="32"/>
          <w:szCs w:val="32"/>
        </w:rPr>
      </w:pPr>
    </w:p>
    <w:p w:rsidR="000F7FAD" w:rsidRDefault="000F7FAD">
      <w:pPr>
        <w:ind w:firstLine="630"/>
        <w:rPr>
          <w:sz w:val="32"/>
          <w:szCs w:val="32"/>
        </w:rPr>
      </w:pPr>
    </w:p>
    <w:p w:rsidR="000F7FAD" w:rsidRDefault="000F7FAD">
      <w:pPr>
        <w:ind w:firstLine="630"/>
        <w:rPr>
          <w:sz w:val="32"/>
          <w:szCs w:val="32"/>
        </w:rPr>
      </w:pPr>
    </w:p>
    <w:p w:rsidR="000F7FAD" w:rsidRDefault="000F7FAD">
      <w:pPr>
        <w:ind w:firstLine="630"/>
        <w:rPr>
          <w:sz w:val="32"/>
          <w:szCs w:val="32"/>
        </w:rPr>
      </w:pPr>
    </w:p>
    <w:p w:rsidR="000F7FAD" w:rsidRDefault="000F7FAD">
      <w:pPr>
        <w:rPr>
          <w:sz w:val="32"/>
          <w:szCs w:val="32"/>
        </w:rPr>
      </w:pPr>
    </w:p>
    <w:p w:rsidR="000F7FAD" w:rsidRDefault="00BB4424">
      <w:pPr>
        <w:rPr>
          <w:sz w:val="32"/>
          <w:szCs w:val="32"/>
        </w:rPr>
      </w:pPr>
      <w:r>
        <w:rPr>
          <w:rFonts w:ascii="黑体" w:eastAsia="黑体" w:hint="eastAsia"/>
          <w:sz w:val="32"/>
          <w:szCs w:val="32"/>
        </w:rPr>
        <w:t>公开方式：</w:t>
      </w:r>
      <w:r>
        <w:rPr>
          <w:rFonts w:ascii="仿宋_GB2312" w:hint="eastAsia"/>
          <w:sz w:val="32"/>
          <w:szCs w:val="32"/>
        </w:rPr>
        <w:fldChar w:fldCharType="begin"/>
      </w:r>
      <w:r>
        <w:rPr>
          <w:rFonts w:ascii="仿宋_GB2312" w:hint="eastAsia"/>
          <w:sz w:val="32"/>
          <w:szCs w:val="32"/>
        </w:rPr>
        <w:instrText xml:space="preserve"> DOCVARIABLE  FlGkfs  \* MERGEFORMAT </w:instrText>
      </w:r>
      <w:r>
        <w:rPr>
          <w:rFonts w:ascii="仿宋_GB2312" w:hint="eastAsia"/>
          <w:sz w:val="32"/>
          <w:szCs w:val="32"/>
        </w:rPr>
        <w:fldChar w:fldCharType="separate"/>
      </w:r>
      <w:r>
        <w:rPr>
          <w:rFonts w:ascii="仿宋_GB2312" w:hint="eastAsia"/>
          <w:sz w:val="32"/>
          <w:szCs w:val="32"/>
        </w:rPr>
        <w:t>主动公开</w:t>
      </w:r>
      <w:r>
        <w:rPr>
          <w:rFonts w:ascii="仿宋_GB2312" w:hint="eastAsia"/>
          <w:sz w:val="32"/>
          <w:szCs w:val="32"/>
        </w:rPr>
        <w:fldChar w:fldCharType="end"/>
      </w:r>
    </w:p>
    <w:p w:rsidR="000F7FAD" w:rsidRDefault="000F7FAD">
      <w:pPr>
        <w:ind w:firstLine="630"/>
        <w:rPr>
          <w:sz w:val="32"/>
          <w:szCs w:val="32"/>
        </w:rPr>
      </w:pPr>
    </w:p>
    <w:p w:rsidR="000F7FAD" w:rsidRDefault="00BB4424">
      <w:pPr>
        <w:pStyle w:val="a3"/>
        <w:adjustRightInd w:val="0"/>
        <w:snapToGrid w:val="0"/>
        <w:spacing w:beforeLines="50" w:before="280" w:afterLines="50" w:after="280"/>
        <w:ind w:leftChars="100" w:left="1140" w:rightChars="100" w:right="300" w:hangingChars="300" w:hanging="840"/>
        <w:rPr>
          <w:sz w:val="28"/>
          <w:szCs w:val="28"/>
        </w:rPr>
      </w:pPr>
      <w:r>
        <w:rPr>
          <w:rFonts w:eastAsia="黑体"/>
          <w:noProof/>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1905</wp:posOffset>
                </wp:positionV>
                <wp:extent cx="5618480" cy="0"/>
                <wp:effectExtent l="0" t="0" r="0" b="0"/>
                <wp:wrapNone/>
                <wp:docPr id="1" name="直线 15"/>
                <wp:cNvGraphicFramePr/>
                <a:graphic xmlns:a="http://schemas.openxmlformats.org/drawingml/2006/main">
                  <a:graphicData uri="http://schemas.microsoft.com/office/word/2010/wordprocessingShape">
                    <wps:wsp>
                      <wps:cNvCnPr/>
                      <wps:spPr>
                        <a:xfrm>
                          <a:off x="0" y="0"/>
                          <a:ext cx="561848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w14:anchorId="7CCCCBF2" id="直线 15"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0,.15pt" to="442.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" strokeweight="1pt"/>
            </w:pict>
          </mc:Fallback>
        </mc:AlternateContent>
      </w:r>
      <w:r>
        <w:rPr>
          <w:rFonts w:eastAsia="黑体"/>
          <w:noProof/>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794385</wp:posOffset>
                </wp:positionV>
                <wp:extent cx="5618480" cy="0"/>
                <wp:effectExtent l="0" t="0" r="0" b="0"/>
                <wp:wrapNone/>
                <wp:docPr id="3" name="直线 17"/>
                <wp:cNvGraphicFramePr/>
                <a:graphic xmlns:a="http://schemas.openxmlformats.org/drawingml/2006/main">
                  <a:graphicData uri="http://schemas.microsoft.com/office/word/2010/wordprocessingShape">
                    <wps:wsp>
                      <wps:cNvCnPr/>
                      <wps:spPr>
                        <a:xfrm>
                          <a:off x="0" y="0"/>
                          <a:ext cx="5618480" cy="0"/>
                        </a:xfrm>
                        <a:prstGeom prst="line">
                          <a:avLst/>
                        </a:prstGeom>
                        <a:ln w="6350" cap="flat" cmpd="sng">
                          <a:solidFill>
                            <a:srgbClr val="000000"/>
                          </a:solidFill>
                          <a:prstDash val="solid"/>
                          <a:headEnd type="none" w="med" len="med"/>
                          <a:tailEnd type="none" w="med" len="med"/>
                        </a:ln>
                      </wps:spPr>
                      <wps:bodyPr/>
                    </wps:wsp>
                  </a:graphicData>
                </a:graphic>
              </wp:anchor>
            </w:drawing>
          </mc:Choice>
          <mc:Fallback>
            <w:pict>
              <v:line w14:anchorId="0E5B7159" id="直线 17"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62.55pt" to="442.4pt,6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" strokeweight=".5pt"/>
            </w:pict>
          </mc:Fallback>
        </mc:AlternateContent>
      </w:r>
      <w:r>
        <w:rPr>
          <w:rFonts w:hint="eastAsia"/>
          <w:sz w:val="28"/>
          <w:szCs w:val="28"/>
        </w:rPr>
        <w:t>抄送：市委直属各单位，市人大办，市政协办，市纪委办，市中级法院，市检察院，省属有关单位。</w:t>
      </w:r>
    </w:p>
    <w:p w:rsidR="000F7FAD" w:rsidRDefault="00BB4424">
      <w:pPr>
        <w:spacing w:beforeLines="50" w:before="280" w:afterLines="50" w:after="280" w:line="400" w:lineRule="exact"/>
        <w:ind w:leftChars="100" w:left="300" w:rightChars="100" w:right="300"/>
        <w:jc w:val="distribute"/>
        <w:rPr>
          <w:sz w:val="28"/>
          <w:szCs w:val="28"/>
        </w:rPr>
      </w:pPr>
      <w:r>
        <w:rPr>
          <w:noProof/>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377825</wp:posOffset>
                </wp:positionV>
                <wp:extent cx="5618480" cy="0"/>
                <wp:effectExtent l="0" t="0" r="0" b="0"/>
                <wp:wrapNone/>
                <wp:docPr id="2" name="直线 16"/>
                <wp:cNvGraphicFramePr/>
                <a:graphic xmlns:a="http://schemas.openxmlformats.org/drawingml/2006/main">
                  <a:graphicData uri="http://schemas.microsoft.com/office/word/2010/wordprocessingShape">
                    <wps:wsp>
                      <wps:cNvCnPr/>
                      <wps:spPr>
                        <a:xfrm>
                          <a:off x="0" y="0"/>
                          <a:ext cx="561848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w14:anchorId="5EAAEAC1" id="直线 16"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0,29.75pt" to="442.4pt,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" strokeweight="1pt"/>
            </w:pict>
          </mc:Fallback>
        </mc:AlternateContent>
      </w:r>
      <w:r>
        <w:rPr>
          <w:rFonts w:hint="eastAsia"/>
          <w:sz w:val="28"/>
          <w:szCs w:val="28"/>
        </w:rPr>
        <w:t>东莞市人民政府办公室综合三科</w:t>
      </w:r>
      <w:r>
        <w:rPr>
          <w:rFonts w:hint="eastAsia"/>
          <w:sz w:val="28"/>
          <w:szCs w:val="28"/>
        </w:rPr>
        <w:t xml:space="preserve">      </w:t>
      </w:r>
      <w:r>
        <w:rPr>
          <w:rFonts w:hint="eastAsia"/>
          <w:sz w:val="28"/>
          <w:szCs w:val="28"/>
        </w:rPr>
        <w:fldChar w:fldCharType="begin"/>
      </w:r>
      <w:r>
        <w:rPr>
          <w:rFonts w:hint="eastAsia"/>
          <w:sz w:val="28"/>
          <w:szCs w:val="28"/>
        </w:rPr>
        <w:instrText xml:space="preserve"> DOCVARIABLE  FlYear  \* MERGEFORMAT </w:instrText>
      </w:r>
      <w:r>
        <w:rPr>
          <w:rFonts w:hint="eastAsia"/>
          <w:sz w:val="28"/>
          <w:szCs w:val="28"/>
        </w:rPr>
        <w:fldChar w:fldCharType="separate"/>
      </w:r>
      <w:r>
        <w:rPr>
          <w:rFonts w:hint="eastAsia"/>
          <w:sz w:val="28"/>
          <w:szCs w:val="28"/>
        </w:rPr>
        <w:t>2022</w:t>
      </w:r>
      <w:r>
        <w:rPr>
          <w:rFonts w:hint="eastAsia"/>
          <w:sz w:val="28"/>
          <w:szCs w:val="28"/>
        </w:rPr>
        <w:fldChar w:fldCharType="end"/>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日印发</w:t>
      </w:r>
    </w:p>
    <w:sectPr w:rsidR="000F7FAD">
      <w:footerReference w:type="even" r:id="rId10"/>
      <w:footerReference w:type="default" r:id="rId11"/>
      <w:pgSz w:w="11906" w:h="16838"/>
      <w:pgMar w:top="2041" w:right="1474" w:bottom="2041" w:left="1588" w:header="851" w:footer="1678" w:gutter="0"/>
      <w:cols w:space="720"/>
      <w:titlePg/>
      <w:docGrid w:type="linesAndChars" w:linePitch="5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4424" w:rsidRDefault="00BB4424">
      <w:r>
        <w:separator/>
      </w:r>
    </w:p>
  </w:endnote>
  <w:endnote w:type="continuationSeparator" w:id="0">
    <w:p w:rsidR="00BB4424" w:rsidRDefault="00BB4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康简标题宋">
    <w:panose1 w:val="0201060900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default"/>
    <w:sig w:usb0="A10006FF" w:usb1="4000205B" w:usb2="00000010" w:usb3="00000000" w:csb0="2000019F" w:csb1="00000000"/>
  </w:font>
  <w:font w:name="黑体">
    <w:altName w:val="SimHei"/>
    <w:panose1 w:val="0201060003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7FAD" w:rsidRDefault="00BB4424">
    <w:pPr>
      <w:pStyle w:val="a7"/>
      <w:framePr w:wrap="around" w:vAnchor="text" w:hAnchor="margin" w:xAlign="outside" w:y="1"/>
      <w:rPr>
        <w:rStyle w:val="ac"/>
      </w:rPr>
    </w:pPr>
    <w:r>
      <w:rPr>
        <w:rStyle w:val="ac"/>
      </w:rPr>
      <w:fldChar w:fldCharType="begin"/>
    </w:r>
    <w:r>
      <w:rPr>
        <w:rStyle w:val="ac"/>
      </w:rPr>
      <w:instrText xml:space="preserve">PAGE  </w:instrText>
    </w:r>
    <w:r>
      <w:rPr>
        <w:rStyle w:val="ac"/>
      </w:rPr>
      <w:fldChar w:fldCharType="end"/>
    </w:r>
  </w:p>
  <w:p w:rsidR="000F7FAD" w:rsidRDefault="000F7FAD">
    <w:pPr>
      <w:pStyle w:val="a7"/>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7FAD" w:rsidRDefault="00BB4424">
    <w:pPr>
      <w:pStyle w:val="a7"/>
      <w:framePr w:w="1199" w:wrap="around" w:vAnchor="text" w:hAnchor="margin" w:xAlign="outside" w:y="-2"/>
      <w:jc w:val="center"/>
      <w:rPr>
        <w:rStyle w:val="ac"/>
      </w:rPr>
    </w:pPr>
    <w:r>
      <w:rPr>
        <w:rStyle w:val="ac"/>
        <w:rFonts w:hint="eastAsia"/>
      </w:rPr>
      <w:t>—</w:t>
    </w:r>
    <w:r>
      <w:rPr>
        <w:rStyle w:val="ac"/>
      </w:rPr>
      <w:fldChar w:fldCharType="begin"/>
    </w:r>
    <w:r>
      <w:rPr>
        <w:rStyle w:val="ac"/>
      </w:rPr>
      <w:instrText xml:space="preserve">PAGE  </w:instrText>
    </w:r>
    <w:r>
      <w:rPr>
        <w:rStyle w:val="ac"/>
      </w:rPr>
      <w:fldChar w:fldCharType="separate"/>
    </w:r>
    <w:r>
      <w:rPr>
        <w:rStyle w:val="ac"/>
      </w:rPr>
      <w:t>29</w:t>
    </w:r>
    <w:r>
      <w:rPr>
        <w:rStyle w:val="ac"/>
      </w:rPr>
      <w:fldChar w:fldCharType="end"/>
    </w:r>
    <w:r>
      <w:rPr>
        <w:rStyle w:val="ac"/>
        <w:rFonts w:hint="eastAsia"/>
      </w:rPr>
      <w:t>—</w:t>
    </w:r>
  </w:p>
  <w:p w:rsidR="000F7FAD" w:rsidRDefault="000F7FAD">
    <w:pPr>
      <w:pStyle w:val="a7"/>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7FAD" w:rsidRDefault="00BB4424">
    <w:pPr>
      <w:pStyle w:val="a7"/>
      <w:framePr w:wrap="around" w:vAnchor="text" w:hAnchor="margin" w:xAlign="outside" w:y="1"/>
      <w:rPr>
        <w:rStyle w:val="ac"/>
      </w:rPr>
    </w:pPr>
    <w:r>
      <w:rPr>
        <w:rStyle w:val="ac"/>
      </w:rPr>
      <w:fldChar w:fldCharType="begin"/>
    </w:r>
    <w:r>
      <w:rPr>
        <w:rStyle w:val="ac"/>
      </w:rPr>
      <w:instrText xml:space="preserve">PAGE  </w:instrText>
    </w:r>
    <w:r>
      <w:rPr>
        <w:rStyle w:val="ac"/>
      </w:rPr>
      <w:fldChar w:fldCharType="end"/>
    </w:r>
  </w:p>
  <w:p w:rsidR="000F7FAD" w:rsidRDefault="000F7FAD">
    <w:pPr>
      <w:pStyle w:val="a7"/>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7FAD" w:rsidRDefault="00BB4424">
    <w:pPr>
      <w:pStyle w:val="a7"/>
      <w:framePr w:w="1199" w:wrap="around" w:vAnchor="text" w:hAnchor="margin" w:xAlign="outside" w:y="-2"/>
      <w:jc w:val="center"/>
      <w:rPr>
        <w:rStyle w:val="ac"/>
      </w:rPr>
    </w:pPr>
    <w:r>
      <w:rPr>
        <w:rStyle w:val="ac"/>
        <w:rFonts w:hint="eastAsia"/>
      </w:rPr>
      <w:t>—</w:t>
    </w:r>
    <w:r>
      <w:rPr>
        <w:rStyle w:val="ac"/>
      </w:rPr>
      <w:fldChar w:fldCharType="begin"/>
    </w:r>
    <w:r>
      <w:rPr>
        <w:rStyle w:val="ac"/>
      </w:rPr>
      <w:instrText xml:space="preserve">PAGE  </w:instrText>
    </w:r>
    <w:r>
      <w:rPr>
        <w:rStyle w:val="ac"/>
      </w:rPr>
      <w:fldChar w:fldCharType="separate"/>
    </w:r>
    <w:r>
      <w:rPr>
        <w:rStyle w:val="ac"/>
      </w:rPr>
      <w:t>2</w:t>
    </w:r>
    <w:r>
      <w:rPr>
        <w:rStyle w:val="ac"/>
      </w:rPr>
      <w:fldChar w:fldCharType="end"/>
    </w:r>
    <w:r>
      <w:rPr>
        <w:rStyle w:val="ac"/>
        <w:rFonts w:hint="eastAsia"/>
      </w:rPr>
      <w:t>—</w:t>
    </w:r>
  </w:p>
  <w:p w:rsidR="000F7FAD" w:rsidRDefault="000F7FAD">
    <w:pPr>
      <w:pStyle w:val="a7"/>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4424" w:rsidRDefault="00BB4424">
      <w:r>
        <w:separator/>
      </w:r>
    </w:p>
  </w:footnote>
  <w:footnote w:type="continuationSeparator" w:id="0">
    <w:p w:rsidR="00BB4424" w:rsidRDefault="00BB44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50"/>
  <w:drawingGridVerticalSpacing w:val="2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FlFileSerial" w:val=" "/>
    <w:docVar w:name="FlFileYear" w:val="2022"/>
    <w:docVar w:name="FlGkfs" w:val="主动公开"/>
    <w:docVar w:name="FlProver" w:val=" "/>
    <w:docVar w:name="FlSubject" w:val="东莞市人民政府办公室关于印发《东莞市消防“十四五”规划》的通知"/>
    <w:docVar w:name="FlYear" w:val="2022"/>
    <w:docVar w:name="FlYear_Zw" w:val="2022"/>
  </w:docVars>
  <w:rsids>
    <w:rsidRoot w:val="00876F5A"/>
    <w:rsid w:val="00015765"/>
    <w:rsid w:val="00037292"/>
    <w:rsid w:val="000451C1"/>
    <w:rsid w:val="0007368E"/>
    <w:rsid w:val="00081C60"/>
    <w:rsid w:val="0009292E"/>
    <w:rsid w:val="000A0674"/>
    <w:rsid w:val="000C4FED"/>
    <w:rsid w:val="000F357A"/>
    <w:rsid w:val="000F7FAD"/>
    <w:rsid w:val="001A6691"/>
    <w:rsid w:val="001B553F"/>
    <w:rsid w:val="00217146"/>
    <w:rsid w:val="00234492"/>
    <w:rsid w:val="002700BA"/>
    <w:rsid w:val="002B09BB"/>
    <w:rsid w:val="002D77EE"/>
    <w:rsid w:val="003449DF"/>
    <w:rsid w:val="00385EB3"/>
    <w:rsid w:val="00404241"/>
    <w:rsid w:val="00404476"/>
    <w:rsid w:val="00407735"/>
    <w:rsid w:val="004266F8"/>
    <w:rsid w:val="00472047"/>
    <w:rsid w:val="0048619E"/>
    <w:rsid w:val="004F3A8C"/>
    <w:rsid w:val="00514150"/>
    <w:rsid w:val="005238E3"/>
    <w:rsid w:val="0054480C"/>
    <w:rsid w:val="0054599A"/>
    <w:rsid w:val="00566317"/>
    <w:rsid w:val="005E3082"/>
    <w:rsid w:val="006110A6"/>
    <w:rsid w:val="0068564A"/>
    <w:rsid w:val="006B4681"/>
    <w:rsid w:val="006C7CF5"/>
    <w:rsid w:val="0070184D"/>
    <w:rsid w:val="007263EB"/>
    <w:rsid w:val="007657DE"/>
    <w:rsid w:val="007A760E"/>
    <w:rsid w:val="00824C23"/>
    <w:rsid w:val="00876F5A"/>
    <w:rsid w:val="00893133"/>
    <w:rsid w:val="008A2986"/>
    <w:rsid w:val="008D5177"/>
    <w:rsid w:val="009618F1"/>
    <w:rsid w:val="00961EE6"/>
    <w:rsid w:val="0098352B"/>
    <w:rsid w:val="009B5C50"/>
    <w:rsid w:val="00A048E6"/>
    <w:rsid w:val="00A05257"/>
    <w:rsid w:val="00A44377"/>
    <w:rsid w:val="00A50AA8"/>
    <w:rsid w:val="00A516C5"/>
    <w:rsid w:val="00A65001"/>
    <w:rsid w:val="00A7013D"/>
    <w:rsid w:val="00A91204"/>
    <w:rsid w:val="00AA2D74"/>
    <w:rsid w:val="00AA6A17"/>
    <w:rsid w:val="00AB1512"/>
    <w:rsid w:val="00AD0F48"/>
    <w:rsid w:val="00AE2381"/>
    <w:rsid w:val="00B003AD"/>
    <w:rsid w:val="00B07AFB"/>
    <w:rsid w:val="00B77C0C"/>
    <w:rsid w:val="00BB4424"/>
    <w:rsid w:val="00C534C8"/>
    <w:rsid w:val="00CD66B3"/>
    <w:rsid w:val="00D65669"/>
    <w:rsid w:val="00DF724A"/>
    <w:rsid w:val="00E241C5"/>
    <w:rsid w:val="00E31F9F"/>
    <w:rsid w:val="00E47A9A"/>
    <w:rsid w:val="00E85864"/>
    <w:rsid w:val="00EE3B6E"/>
    <w:rsid w:val="00F35321"/>
    <w:rsid w:val="00F425E4"/>
    <w:rsid w:val="00F871D6"/>
    <w:rsid w:val="00FA11B8"/>
    <w:rsid w:val="00FA1AE1"/>
    <w:rsid w:val="00FD0908"/>
    <w:rsid w:val="00FD1F77"/>
    <w:rsid w:val="063661B1"/>
    <w:rsid w:val="0E346B95"/>
    <w:rsid w:val="158E29FA"/>
    <w:rsid w:val="16C9212B"/>
    <w:rsid w:val="24C858D1"/>
    <w:rsid w:val="308E3614"/>
    <w:rsid w:val="3B026D12"/>
    <w:rsid w:val="47B20311"/>
    <w:rsid w:val="4BDE69FD"/>
    <w:rsid w:val="4C39700F"/>
    <w:rsid w:val="50602B3A"/>
    <w:rsid w:val="54126B5E"/>
    <w:rsid w:val="66D31246"/>
    <w:rsid w:val="68223547"/>
    <w:rsid w:val="6DC70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8C6B10CD-F604-4463-84F2-2007DE09A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Body Text Indent"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仿宋_GB2312"/>
      <w:kern w:val="2"/>
      <w:sz w:val="30"/>
      <w:szCs w:val="24"/>
    </w:rPr>
  </w:style>
  <w:style w:type="paragraph" w:styleId="2">
    <w:name w:val="heading 2"/>
    <w:next w:val="a"/>
    <w:qFormat/>
    <w:pPr>
      <w:keepNext/>
      <w:keepLines/>
      <w:autoSpaceDE w:val="0"/>
      <w:autoSpaceDN w:val="0"/>
      <w:jc w:val="distribute"/>
      <w:outlineLvl w:val="1"/>
    </w:pPr>
    <w:rPr>
      <w:rFonts w:eastAsia="华康简标题宋"/>
      <w:bCs/>
      <w:color w:val="FF0000"/>
      <w:w w:val="70"/>
      <w:sz w:val="11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styleId="a3">
    <w:name w:val="Body Text"/>
    <w:basedOn w:val="a"/>
    <w:qFormat/>
    <w:pPr>
      <w:ind w:rightChars="-12" w:right="-35"/>
    </w:pPr>
    <w:rPr>
      <w:sz w:val="31"/>
    </w:rPr>
  </w:style>
  <w:style w:type="paragraph" w:styleId="a4">
    <w:name w:val="Body Text Indent"/>
    <w:basedOn w:val="a"/>
    <w:qFormat/>
    <w:pPr>
      <w:topLinePunct/>
      <w:autoSpaceDE w:val="0"/>
      <w:autoSpaceDN w:val="0"/>
      <w:spacing w:line="600" w:lineRule="atLeast"/>
      <w:ind w:firstLine="615"/>
    </w:pPr>
    <w:rPr>
      <w:rFonts w:ascii="仿宋_GB2312"/>
      <w:sz w:val="31"/>
    </w:rPr>
  </w:style>
  <w:style w:type="paragraph" w:styleId="a5">
    <w:name w:val="Block Text"/>
    <w:basedOn w:val="a"/>
    <w:qFormat/>
    <w:pPr>
      <w:pBdr>
        <w:top w:val="single" w:sz="6" w:space="1" w:color="auto"/>
        <w:bottom w:val="single" w:sz="6" w:space="1" w:color="auto"/>
      </w:pBdr>
      <w:topLinePunct/>
      <w:autoSpaceDE w:val="0"/>
      <w:autoSpaceDN w:val="0"/>
      <w:spacing w:line="540" w:lineRule="atLeast"/>
      <w:ind w:leftChars="100" w:left="948" w:right="17" w:hangingChars="200" w:hanging="632"/>
    </w:pPr>
  </w:style>
  <w:style w:type="paragraph" w:styleId="a6">
    <w:name w:val="Balloon Text"/>
    <w:basedOn w:val="a"/>
    <w:uiPriority w:val="99"/>
    <w:unhideWhenUsed/>
    <w:qFormat/>
    <w:rPr>
      <w:sz w:val="18"/>
    </w:rPr>
  </w:style>
  <w:style w:type="paragraph" w:styleId="a7">
    <w:name w:val="footer"/>
    <w:basedOn w:val="a"/>
    <w:qFormat/>
    <w:pPr>
      <w:tabs>
        <w:tab w:val="center" w:leader="hyphen" w:pos="4153"/>
        <w:tab w:val="right" w:pos="8306"/>
      </w:tabs>
      <w:snapToGrid w:val="0"/>
      <w:jc w:val="right"/>
    </w:pPr>
    <w:rPr>
      <w:sz w:val="28"/>
      <w:szCs w:val="18"/>
    </w:rPr>
  </w:style>
  <w:style w:type="paragraph" w:styleId="a8">
    <w:name w:val="header"/>
    <w:basedOn w:val="a"/>
    <w:qFormat/>
    <w:pPr>
      <w:tabs>
        <w:tab w:val="center" w:pos="4153"/>
        <w:tab w:val="right" w:pos="8306"/>
      </w:tabs>
      <w:snapToGrid w:val="0"/>
      <w:jc w:val="center"/>
    </w:pPr>
    <w:rPr>
      <w:sz w:val="18"/>
      <w:szCs w:val="18"/>
    </w:rPr>
  </w:style>
  <w:style w:type="paragraph" w:styleId="TOC1">
    <w:name w:val="toc 1"/>
    <w:basedOn w:val="a"/>
    <w:next w:val="a"/>
    <w:uiPriority w:val="39"/>
    <w:qFormat/>
  </w:style>
  <w:style w:type="paragraph" w:styleId="TOC2">
    <w:name w:val="toc 2"/>
    <w:basedOn w:val="a"/>
    <w:next w:val="a"/>
    <w:uiPriority w:val="39"/>
    <w:qFormat/>
    <w:pPr>
      <w:ind w:leftChars="200" w:left="420"/>
    </w:pPr>
  </w:style>
  <w:style w:type="paragraph" w:styleId="a9">
    <w:name w:val="Normal (Web)"/>
    <w:basedOn w:val="a"/>
    <w:qFormat/>
    <w:pPr>
      <w:widowControl/>
      <w:spacing w:before="100" w:beforeAutospacing="1" w:after="100" w:afterAutospacing="1"/>
      <w:jc w:val="left"/>
    </w:pPr>
    <w:rPr>
      <w:rFonts w:ascii="宋体" w:eastAsia="宋体" w:hAnsi="宋体" w:cs="宋体"/>
      <w:kern w:val="0"/>
      <w:sz w:val="24"/>
    </w:rPr>
  </w:style>
  <w:style w:type="paragraph" w:styleId="aa">
    <w:name w:val="Title"/>
    <w:basedOn w:val="a"/>
    <w:qFormat/>
    <w:pPr>
      <w:spacing w:before="240" w:after="60"/>
      <w:jc w:val="center"/>
      <w:outlineLvl w:val="0"/>
    </w:pPr>
    <w:rPr>
      <w:rFonts w:eastAsia="华康简标题宋" w:cs="Arial"/>
      <w:bCs/>
      <w:sz w:val="44"/>
      <w:szCs w:val="32"/>
    </w:rPr>
  </w:style>
  <w:style w:type="table" w:styleId="ab">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styleId="ac">
    <w:name w:val="page number"/>
    <w:basedOn w:val="a0"/>
    <w:qFormat/>
    <w:rPr>
      <w:rFonts w:ascii="Times New Roman" w:eastAsia="仿宋_GB2312" w:hAnsi="Times New Roman"/>
      <w:sz w:val="28"/>
      <w:lang w:eastAsia="zh-CN"/>
    </w:rPr>
  </w:style>
  <w:style w:type="paragraph" w:customStyle="1" w:styleId="Char">
    <w:name w:val="Char"/>
    <w:basedOn w:val="a"/>
    <w:qFormat/>
    <w:pPr>
      <w:widowControl/>
      <w:spacing w:after="160" w:line="240" w:lineRule="exact"/>
      <w:jc w:val="left"/>
    </w:pPr>
    <w:rPr>
      <w:rFonts w:ascii="Verdana" w:hAnsi="Verdana"/>
      <w:kern w:val="0"/>
      <w:sz w:val="24"/>
      <w:szCs w:val="20"/>
      <w:lang w:eastAsia="en-US"/>
    </w:rPr>
  </w:style>
  <w:style w:type="paragraph" w:customStyle="1" w:styleId="1">
    <w:name w:val="规划标题样式1"/>
    <w:basedOn w:val="a"/>
    <w:qFormat/>
    <w:pPr>
      <w:topLinePunct/>
      <w:autoSpaceDE w:val="0"/>
      <w:autoSpaceDN w:val="0"/>
      <w:snapToGrid w:val="0"/>
      <w:spacing w:beforeLines="50" w:before="280" w:afterLines="50" w:after="280" w:line="600" w:lineRule="exact"/>
      <w:jc w:val="center"/>
      <w:outlineLvl w:val="0"/>
    </w:pPr>
    <w:rPr>
      <w:rFonts w:ascii="黑体" w:eastAsia="黑体" w:hAnsi="黑体"/>
      <w:sz w:val="32"/>
      <w:szCs w:val="32"/>
    </w:rPr>
  </w:style>
  <w:style w:type="paragraph" w:customStyle="1" w:styleId="20">
    <w:name w:val="规划标题样式2"/>
    <w:basedOn w:val="a"/>
    <w:qFormat/>
    <w:pPr>
      <w:topLinePunct/>
      <w:autoSpaceDE w:val="0"/>
      <w:autoSpaceDN w:val="0"/>
      <w:snapToGrid w:val="0"/>
      <w:spacing w:beforeLines="50" w:before="280" w:afterLines="50" w:after="280" w:line="600" w:lineRule="exact"/>
      <w:jc w:val="center"/>
      <w:outlineLvl w:val="1"/>
    </w:pPr>
    <w:rPr>
      <w:rFonts w:ascii="楷体_GB2312" w:eastAsia="楷体_GB2312" w:hAnsi="黑体"/>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55</Pages>
  <Words>4702</Words>
  <Characters>26803</Characters>
  <Application>Microsoft Office Word</Application>
  <DocSecurity>0</DocSecurity>
  <Lines>223</Lines>
  <Paragraphs>62</Paragraphs>
  <ScaleCrop>false</ScaleCrop>
  <Company>Microsoft</Company>
  <LinksUpToDate>false</LinksUpToDate>
  <CharactersWithSpaces>31443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00001</dc:title>
  <dc:creator>User</dc:creator>
  <cp:lastModifiedBy>廖文玮</cp:lastModifiedBy>
  <cp:revision>3</cp:revision>
  <cp:lastPrinted>2010-01-19T08:30:00Z</cp:lastPrinted>
  <dcterms:created xsi:type="dcterms:W3CDTF">2022-03-18T09:10:00Z</dcterms:created>
  <dcterms:modified xsi:type="dcterms:W3CDTF">2022-05-07T10:18:00Z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