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重庆市医疗保障局 重庆市卫生健康委员会</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关于将三级医疗机构日间手术纳入</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医保支付的通知</w:t>
      </w:r>
    </w:p>
    <w:p>
      <w:pPr>
        <w:autoSpaceDE w:val="0"/>
        <w:autoSpaceDN w:val="0"/>
        <w:adjustRightInd w:val="0"/>
        <w:spacing w:line="600" w:lineRule="exact"/>
        <w:jc w:val="center"/>
        <w:rPr>
          <w:rFonts w:hint="eastAsia" w:ascii="Times New Roman" w:hAnsi="Times New Roman" w:eastAsia="方正仿宋_GBK" w:cs="Times New Roman"/>
          <w:lang w:val="en-US" w:eastAsia="zh-CN"/>
        </w:rPr>
      </w:pPr>
      <w:r>
        <w:rPr>
          <w:rFonts w:hint="default" w:ascii="Times New Roman" w:hAnsi="Times New Roman" w:eastAsia="方正仿宋_GBK" w:cs="Times New Roman"/>
        </w:rPr>
        <w:t>渝</w:t>
      </w:r>
      <w:r>
        <w:rPr>
          <w:rFonts w:hint="default" w:ascii="Times New Roman" w:hAnsi="Times New Roman" w:eastAsia="方正仿宋_GBK" w:cs="Times New Roman"/>
          <w:lang w:eastAsia="zh-CN"/>
        </w:rPr>
        <w:t>医保</w:t>
      </w:r>
      <w:r>
        <w:rPr>
          <w:rFonts w:hint="default" w:ascii="Times New Roman" w:hAnsi="Times New Roman" w:eastAsia="方正仿宋_GBK" w:cs="Times New Roman"/>
        </w:rPr>
        <w:t>发〔20</w:t>
      </w:r>
      <w:r>
        <w:rPr>
          <w:rFonts w:hint="eastAsia" w:ascii="Times New Roman" w:hAnsi="Times New Roman" w:eastAsia="方正仿宋_GBK" w:cs="Times New Roman"/>
          <w:lang w:val="en-US" w:eastAsia="zh-CN"/>
        </w:rPr>
        <w:t>2</w:t>
      </w:r>
      <w:r>
        <w:rPr>
          <w:rFonts w:hint="eastAsia" w:eastAsia="方正仿宋_GBK" w:cs="Times New Roman"/>
          <w:lang w:val="en-US" w:eastAsia="zh-CN"/>
        </w:rPr>
        <w:t>1</w:t>
      </w:r>
      <w:r>
        <w:rPr>
          <w:rFonts w:hint="default" w:ascii="Times New Roman" w:hAnsi="Times New Roman" w:eastAsia="方正仿宋_GBK" w:cs="Times New Roman"/>
        </w:rPr>
        <w:t>〕</w:t>
      </w:r>
      <w:r>
        <w:rPr>
          <w:rFonts w:hint="eastAsia" w:eastAsia="方正仿宋_GBK" w:cs="Times New Roman"/>
          <w:lang w:val="en-US" w:eastAsia="zh-CN"/>
        </w:rPr>
        <w:t>5</w:t>
      </w:r>
      <w:r>
        <w:rPr>
          <w:rFonts w:hint="default" w:ascii="Times New Roman" w:hAnsi="Times New Roman" w:eastAsia="方正仿宋_GBK" w:cs="Times New Roman"/>
        </w:rPr>
        <w:t>号</w:t>
      </w:r>
    </w:p>
    <w:p>
      <w:pPr>
        <w:autoSpaceDE w:val="0"/>
        <w:autoSpaceDN w:val="0"/>
        <w:adjustRightInd w:val="0"/>
        <w:spacing w:line="600" w:lineRule="exact"/>
        <w:jc w:val="left"/>
        <w:rPr>
          <w:rFonts w:ascii="方正仿宋_GBK" w:hAnsi="方正仿宋_GBK" w:eastAsia="方正仿宋_GBK" w:cs="方正仿宋_GBK"/>
          <w:color w:val="000000"/>
          <w:kern w:val="0"/>
          <w:sz w:val="32"/>
          <w:szCs w:val="32"/>
        </w:rPr>
      </w:pPr>
    </w:p>
    <w:p>
      <w:pPr>
        <w:keepNext w:val="0"/>
        <w:keepLines w:val="0"/>
        <w:pageBreakBefore w:val="0"/>
        <w:kinsoku/>
        <w:wordWrap/>
        <w:overflowPunct/>
        <w:topLinePunct w:val="0"/>
        <w:autoSpaceDE w:val="0"/>
        <w:autoSpaceDN w:val="0"/>
        <w:bidi w:val="0"/>
        <w:adjustRightInd w:val="0"/>
        <w:spacing w:line="560" w:lineRule="exact"/>
        <w:jc w:val="left"/>
        <w:textAlignment w:val="auto"/>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sz w:val="32"/>
          <w:szCs w:val="32"/>
        </w:rPr>
        <w:t>各区县（自治县）医疗保障局、</w:t>
      </w:r>
      <w:r>
        <w:rPr>
          <w:rFonts w:hint="eastAsia" w:ascii="Times New Roman" w:hAnsi="Times New Roman" w:eastAsia="方正仿宋_GBK" w:cs="方正仿宋_GBK"/>
          <w:color w:val="000000"/>
          <w:kern w:val="0"/>
          <w:sz w:val="32"/>
          <w:szCs w:val="32"/>
        </w:rPr>
        <w:t>卫生健康委，</w:t>
      </w:r>
      <w:r>
        <w:rPr>
          <w:rFonts w:hint="eastAsia" w:ascii="Times New Roman" w:hAnsi="Times New Roman" w:eastAsia="方正仿宋_GBK" w:cs="方正仿宋_GBK"/>
          <w:sz w:val="32"/>
          <w:szCs w:val="32"/>
        </w:rPr>
        <w:t>两江新区社会保障局、</w:t>
      </w:r>
      <w:r>
        <w:rPr>
          <w:rFonts w:hint="eastAsia" w:ascii="Times New Roman" w:hAnsi="Times New Roman" w:eastAsia="方正仿宋_GBK" w:cs="方正仿宋_GBK"/>
          <w:color w:val="000000"/>
          <w:kern w:val="0"/>
          <w:sz w:val="32"/>
          <w:szCs w:val="32"/>
        </w:rPr>
        <w:t>社会发展局，</w:t>
      </w:r>
      <w:r>
        <w:rPr>
          <w:rFonts w:hint="eastAsia" w:ascii="Times New Roman" w:hAnsi="Times New Roman" w:eastAsia="方正仿宋_GBK" w:cs="方正仿宋_GBK"/>
          <w:sz w:val="32"/>
          <w:szCs w:val="32"/>
        </w:rPr>
        <w:t>高新区政务服务和社会事务中心、</w:t>
      </w:r>
      <w:r>
        <w:rPr>
          <w:rFonts w:hint="eastAsia" w:ascii="Times New Roman" w:hAnsi="Times New Roman" w:eastAsia="方正仿宋_GBK" w:cs="方正仿宋_GBK"/>
          <w:color w:val="000000"/>
          <w:kern w:val="0"/>
          <w:sz w:val="32"/>
          <w:szCs w:val="32"/>
        </w:rPr>
        <w:t>公共服务局，</w:t>
      </w:r>
      <w:r>
        <w:rPr>
          <w:rFonts w:hint="eastAsia" w:ascii="Times New Roman" w:hAnsi="Times New Roman" w:eastAsia="方正仿宋_GBK" w:cs="方正仿宋_GBK"/>
          <w:sz w:val="32"/>
          <w:szCs w:val="32"/>
        </w:rPr>
        <w:t>万盛经开区人力社保局</w:t>
      </w:r>
      <w:r>
        <w:rPr>
          <w:rFonts w:hint="eastAsia" w:ascii="Times New Roman" w:hAnsi="Times New Roman" w:eastAsia="方正仿宋_GBK" w:cs="方正仿宋_GBK"/>
          <w:color w:val="000000"/>
          <w:kern w:val="0"/>
          <w:sz w:val="32"/>
          <w:szCs w:val="32"/>
        </w:rPr>
        <w:t>、卫生健康局，相关医疗机构：</w:t>
      </w:r>
    </w:p>
    <w:p>
      <w:pPr>
        <w:keepNext w:val="0"/>
        <w:keepLines w:val="0"/>
        <w:pageBreakBefore w:val="0"/>
        <w:kinsoku/>
        <w:wordWrap/>
        <w:overflowPunct/>
        <w:topLinePunct w:val="0"/>
        <w:autoSpaceDE w:val="0"/>
        <w:autoSpaceDN w:val="0"/>
        <w:bidi w:val="0"/>
        <w:adjustRightInd w:val="0"/>
        <w:spacing w:line="580" w:lineRule="exact"/>
        <w:ind w:firstLine="640"/>
        <w:jc w:val="both"/>
        <w:textAlignment w:val="auto"/>
        <w:outlineLvl w:val="9"/>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国务院办公厅关于进一步深化基本医疗保险支付方式改革的指导意见》（国办发〔2017〕55号）和《重庆市人民政府办公厅关于印发重庆市进一步深化基本医疗保险支付方式改革实施方案的通知》（渝府办发〔2018〕114号）等文件精神，为进一步深化基本医疗保险支付方式改革，提高医院服务效率，控制医疗费用，提高参保患者就医获得感。经研究决定扩大日间手术病种及医疗机构范围，进一步明确日间手术医保支付政策，现将有关情况通知如下。</w:t>
      </w:r>
    </w:p>
    <w:p>
      <w:pPr>
        <w:keepNext w:val="0"/>
        <w:keepLines w:val="0"/>
        <w:pageBreakBefore w:val="0"/>
        <w:kinsoku/>
        <w:wordWrap/>
        <w:overflowPunct/>
        <w:topLinePunct w:val="0"/>
        <w:autoSpaceDE w:val="0"/>
        <w:autoSpaceDN w:val="0"/>
        <w:bidi w:val="0"/>
        <w:adjustRightInd w:val="0"/>
        <w:spacing w:line="580" w:lineRule="exact"/>
        <w:ind w:firstLine="640"/>
        <w:jc w:val="left"/>
        <w:textAlignment w:val="auto"/>
        <w:outlineLvl w:val="9"/>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一、实施医院范围</w:t>
      </w:r>
    </w:p>
    <w:p>
      <w:pPr>
        <w:keepNext w:val="0"/>
        <w:keepLines w:val="0"/>
        <w:pageBreakBefore w:val="0"/>
        <w:widowControl/>
        <w:kinsoku/>
        <w:wordWrap/>
        <w:overflowPunct/>
        <w:topLinePunct w:val="0"/>
        <w:bidi w:val="0"/>
        <w:snapToGrid w:val="0"/>
        <w:spacing w:line="580" w:lineRule="exact"/>
        <w:ind w:firstLine="640" w:firstLineChars="200"/>
        <w:textAlignment w:val="auto"/>
        <w:outlineLvl w:val="9"/>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全市符合条件的三级医疗机构均可开展日间手术。</w:t>
      </w:r>
    </w:p>
    <w:p>
      <w:pPr>
        <w:keepNext w:val="0"/>
        <w:keepLines w:val="0"/>
        <w:pageBreakBefore w:val="0"/>
        <w:kinsoku/>
        <w:wordWrap/>
        <w:overflowPunct/>
        <w:topLinePunct w:val="0"/>
        <w:autoSpaceDE w:val="0"/>
        <w:autoSpaceDN w:val="0"/>
        <w:bidi w:val="0"/>
        <w:adjustRightInd w:val="0"/>
        <w:spacing w:line="580" w:lineRule="exact"/>
        <w:ind w:firstLine="640"/>
        <w:jc w:val="left"/>
        <w:textAlignment w:val="auto"/>
        <w:outlineLvl w:val="9"/>
        <w:rPr>
          <w:rFonts w:hint="eastAsia"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二、日间手术范围</w:t>
      </w:r>
    </w:p>
    <w:p>
      <w:pPr>
        <w:keepNext w:val="0"/>
        <w:keepLines w:val="0"/>
        <w:pageBreakBefore w:val="0"/>
        <w:widowControl/>
        <w:kinsoku/>
        <w:wordWrap/>
        <w:overflowPunct/>
        <w:topLinePunct w:val="0"/>
        <w:bidi w:val="0"/>
        <w:snapToGrid w:val="0"/>
        <w:spacing w:line="580" w:lineRule="exact"/>
        <w:ind w:firstLine="640" w:firstLineChars="200"/>
        <w:jc w:val="both"/>
        <w:textAlignment w:val="auto"/>
        <w:outlineLvl w:val="9"/>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遵循诊疗技术成熟、质量安全可控，符合医院诊疗水平和功能定位的原则，医疗机构实施国家</w:t>
      </w:r>
      <w:r>
        <w:rPr>
          <w:rFonts w:hint="eastAsia" w:ascii="Times New Roman" w:hAnsi="Times New Roman" w:eastAsia="方正仿宋_GBK" w:cs="方正仿宋_GBK"/>
          <w:color w:val="000000"/>
          <w:kern w:val="0"/>
          <w:sz w:val="32"/>
          <w:szCs w:val="32"/>
        </w:rPr>
        <w:t>卫生健康委</w:t>
      </w:r>
      <w:r>
        <w:rPr>
          <w:rFonts w:hint="eastAsia" w:ascii="Times New Roman" w:hAnsi="Times New Roman" w:eastAsia="方正仿宋_GBK" w:cs="方正仿宋_GBK"/>
          <w:sz w:val="32"/>
          <w:szCs w:val="32"/>
        </w:rPr>
        <w:t>颁布的日间手术病种目录范围内病种纳入医保报销范围。医疗机构可结合实际，自主选择病种开展日间手术。日间手术是指患者按照诊疗计划在1日（24小时）内完成入、出院手术或操作（不包括门诊手术），因病情需要延期住院的特殊病例，住院时间不超过48小时。</w:t>
      </w:r>
    </w:p>
    <w:p>
      <w:pPr>
        <w:keepNext w:val="0"/>
        <w:keepLines w:val="0"/>
        <w:pageBreakBefore w:val="0"/>
        <w:kinsoku/>
        <w:wordWrap/>
        <w:overflowPunct/>
        <w:topLinePunct w:val="0"/>
        <w:autoSpaceDE w:val="0"/>
        <w:autoSpaceDN w:val="0"/>
        <w:bidi w:val="0"/>
        <w:adjustRightInd w:val="0"/>
        <w:spacing w:line="580" w:lineRule="exact"/>
        <w:ind w:firstLine="640"/>
        <w:jc w:val="left"/>
        <w:textAlignment w:val="auto"/>
        <w:outlineLvl w:val="9"/>
        <w:rPr>
          <w:rFonts w:hint="eastAsia"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三、费用结算管理</w:t>
      </w:r>
    </w:p>
    <w:p>
      <w:pPr>
        <w:keepNext w:val="0"/>
        <w:keepLines w:val="0"/>
        <w:pageBreakBefore w:val="0"/>
        <w:widowControl/>
        <w:kinsoku/>
        <w:wordWrap/>
        <w:overflowPunct/>
        <w:topLinePunct w:val="0"/>
        <w:bidi w:val="0"/>
        <w:snapToGrid w:val="0"/>
        <w:spacing w:line="580" w:lineRule="exact"/>
        <w:ind w:firstLine="630"/>
        <w:textAlignment w:val="auto"/>
        <w:outlineLvl w:val="9"/>
        <w:rPr>
          <w:rFonts w:ascii="Times New Roman" w:hAnsi="Times New Roman" w:eastAsia="方正楷体_GBK" w:cs="方正仿宋_GBK"/>
          <w:bCs/>
          <w:sz w:val="32"/>
          <w:szCs w:val="32"/>
        </w:rPr>
      </w:pPr>
      <w:r>
        <w:rPr>
          <w:rFonts w:hint="eastAsia" w:ascii="Times New Roman" w:hAnsi="Times New Roman" w:eastAsia="方正楷体_GBK" w:cs="方正仿宋_GBK"/>
          <w:bCs/>
          <w:sz w:val="32"/>
          <w:szCs w:val="32"/>
        </w:rPr>
        <w:t>（一）医保支付政策</w:t>
      </w:r>
    </w:p>
    <w:p>
      <w:pPr>
        <w:keepNext w:val="0"/>
        <w:keepLines w:val="0"/>
        <w:pageBreakBefore w:val="0"/>
        <w:widowControl/>
        <w:kinsoku/>
        <w:wordWrap/>
        <w:overflowPunct/>
        <w:topLinePunct w:val="0"/>
        <w:bidi w:val="0"/>
        <w:snapToGrid w:val="0"/>
        <w:spacing w:line="580" w:lineRule="exact"/>
        <w:ind w:firstLine="630"/>
        <w:textAlignment w:val="auto"/>
        <w:outlineLvl w:val="9"/>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纳入医保住院费用结算的日间手术病种，按住院待遇结算。我市城镇职工医保、城乡居民医保参保人员，在医疗机构发生的符合医保政策范围内的日间手术诊疗费用和药品费用，按规定纳入住院费用结算。包括日间手术住院期间费用以及日间手术住院前1周和出院后1周的门诊费用（在同一医院发生的与本次日间手术直接相关的门诊术前检查、化验、诊疗费用和术后换药、拔管、拆线的治疗费用）。</w:t>
      </w:r>
    </w:p>
    <w:p>
      <w:pPr>
        <w:keepNext w:val="0"/>
        <w:keepLines w:val="0"/>
        <w:pageBreakBefore w:val="0"/>
        <w:widowControl/>
        <w:kinsoku/>
        <w:wordWrap/>
        <w:overflowPunct/>
        <w:topLinePunct w:val="0"/>
        <w:bidi w:val="0"/>
        <w:snapToGrid w:val="0"/>
        <w:spacing w:line="580" w:lineRule="exact"/>
        <w:ind w:firstLine="630"/>
        <w:textAlignment w:val="auto"/>
        <w:outlineLvl w:val="9"/>
        <w:rPr>
          <w:rFonts w:hint="eastAsia" w:ascii="Times New Roman" w:hAnsi="Times New Roman" w:eastAsia="方正楷体_GBK" w:cs="方正仿宋_GBK"/>
          <w:bCs/>
          <w:sz w:val="32"/>
          <w:szCs w:val="32"/>
        </w:rPr>
      </w:pPr>
      <w:r>
        <w:rPr>
          <w:rFonts w:hint="eastAsia" w:ascii="Times New Roman" w:hAnsi="Times New Roman" w:eastAsia="方正楷体_GBK" w:cs="方正仿宋_GBK"/>
          <w:bCs/>
          <w:sz w:val="32"/>
          <w:szCs w:val="32"/>
        </w:rPr>
        <w:t>（二）费用结算方法</w:t>
      </w:r>
    </w:p>
    <w:p>
      <w:pPr>
        <w:keepNext w:val="0"/>
        <w:keepLines w:val="0"/>
        <w:pageBreakBefore w:val="0"/>
        <w:widowControl/>
        <w:kinsoku/>
        <w:wordWrap/>
        <w:overflowPunct/>
        <w:topLinePunct w:val="0"/>
        <w:bidi w:val="0"/>
        <w:snapToGrid w:val="0"/>
        <w:spacing w:line="560" w:lineRule="exact"/>
        <w:ind w:firstLine="645"/>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医疗机构对符合日间手术治疗的患者及时办理日间手术登记手续，并在1周内住院行日间手术治疗。超过1周期限的术前门诊费用和院后治疗费用不纳入日间手术费用结算，按门诊费用结算。</w:t>
      </w:r>
    </w:p>
    <w:p>
      <w:pPr>
        <w:keepNext w:val="0"/>
        <w:keepLines w:val="0"/>
        <w:pageBreakBefore w:val="0"/>
        <w:widowControl/>
        <w:kinsoku/>
        <w:wordWrap/>
        <w:overflowPunct/>
        <w:topLinePunct w:val="0"/>
        <w:bidi w:val="0"/>
        <w:snapToGrid w:val="0"/>
        <w:spacing w:line="560" w:lineRule="exact"/>
        <w:ind w:firstLine="63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若日间手术患者住院期间出现并发症或其他意外情况，难以在入院48小时内出院的病人，可退出日间手术管理转普通住院，其日间手术诊疗费用（含门诊术前检查、化验、诊疗费用）与后续住院费用合并结算。</w:t>
      </w:r>
    </w:p>
    <w:p>
      <w:pPr>
        <w:keepNext w:val="0"/>
        <w:keepLines w:val="0"/>
        <w:pageBreakBefore w:val="0"/>
        <w:widowControl/>
        <w:kinsoku/>
        <w:wordWrap/>
        <w:overflowPunct/>
        <w:topLinePunct w:val="0"/>
        <w:bidi w:val="0"/>
        <w:snapToGrid w:val="0"/>
        <w:spacing w:line="560" w:lineRule="exact"/>
        <w:ind w:firstLine="630"/>
        <w:textAlignment w:val="auto"/>
        <w:rPr>
          <w:rFonts w:hint="eastAsia" w:ascii="Times New Roman" w:hAnsi="Times New Roman" w:eastAsia="方正楷体_GBK" w:cs="方正仿宋_GBK"/>
          <w:bCs/>
          <w:sz w:val="32"/>
          <w:szCs w:val="32"/>
        </w:rPr>
      </w:pPr>
      <w:r>
        <w:rPr>
          <w:rFonts w:hint="eastAsia" w:ascii="Times New Roman" w:hAnsi="Times New Roman" w:eastAsia="方正楷体_GBK" w:cs="方正仿宋_GBK"/>
          <w:bCs/>
          <w:sz w:val="32"/>
          <w:szCs w:val="32"/>
        </w:rPr>
        <w:t>（三）费用结算管理</w:t>
      </w:r>
    </w:p>
    <w:p>
      <w:pPr>
        <w:keepNext w:val="0"/>
        <w:keepLines w:val="0"/>
        <w:pageBreakBefore w:val="0"/>
        <w:kinsoku/>
        <w:wordWrap/>
        <w:overflowPunct/>
        <w:topLinePunct w:val="0"/>
        <w:bidi w:val="0"/>
        <w:snapToGrid w:val="0"/>
        <w:spacing w:line="56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开展日间手术的医疗机构要按照医保经办机构要求，完成医疗机构内相关系统改造，及时、准确上传日间手术术前检验检查及日间手术住院期间的项目明细，并按规定做好费用结算，优化报销流程。</w:t>
      </w:r>
    </w:p>
    <w:p>
      <w:pPr>
        <w:keepNext w:val="0"/>
        <w:keepLines w:val="0"/>
        <w:pageBreakBefore w:val="0"/>
        <w:kinsoku/>
        <w:wordWrap/>
        <w:overflowPunct/>
        <w:topLinePunct w:val="0"/>
        <w:bidi w:val="0"/>
        <w:snapToGrid w:val="0"/>
        <w:spacing w:line="56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医保经办机构与医疗机构签订协议，强化日常管理和年度考核。日间手术相关费用纳入医疗机构年度医保基金总额预算范围，按月结算，年终清算。</w:t>
      </w:r>
    </w:p>
    <w:p>
      <w:pPr>
        <w:keepNext w:val="0"/>
        <w:keepLines w:val="0"/>
        <w:pageBreakBefore w:val="0"/>
        <w:kinsoku/>
        <w:wordWrap/>
        <w:overflowPunct/>
        <w:topLinePunct w:val="0"/>
        <w:autoSpaceDE w:val="0"/>
        <w:autoSpaceDN w:val="0"/>
        <w:bidi w:val="0"/>
        <w:adjustRightInd w:val="0"/>
        <w:spacing w:line="560" w:lineRule="exact"/>
        <w:ind w:firstLine="640"/>
        <w:jc w:val="left"/>
        <w:textAlignment w:val="auto"/>
        <w:rPr>
          <w:rFonts w:hint="eastAsia"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四、质量安全管理</w:t>
      </w:r>
    </w:p>
    <w:p>
      <w:pPr>
        <w:keepNext w:val="0"/>
        <w:keepLines w:val="0"/>
        <w:pageBreakBefore w:val="0"/>
        <w:widowControl/>
        <w:kinsoku/>
        <w:wordWrap/>
        <w:overflowPunct/>
        <w:topLinePunct w:val="0"/>
        <w:bidi w:val="0"/>
        <w:snapToGrid w:val="0"/>
        <w:spacing w:line="560" w:lineRule="exact"/>
        <w:ind w:firstLine="630"/>
        <w:textAlignment w:val="auto"/>
        <w:rPr>
          <w:rFonts w:hint="eastAsia" w:ascii="Times New Roman" w:hAnsi="Times New Roman" w:eastAsia="方正楷体_GBK" w:cs="方正仿宋_GBK"/>
          <w:bCs/>
          <w:sz w:val="32"/>
          <w:szCs w:val="32"/>
        </w:rPr>
      </w:pPr>
      <w:r>
        <w:rPr>
          <w:rFonts w:hint="eastAsia" w:ascii="Times New Roman" w:hAnsi="Times New Roman" w:eastAsia="方正楷体_GBK" w:cs="方正仿宋_GBK"/>
          <w:bCs/>
          <w:sz w:val="32"/>
          <w:szCs w:val="32"/>
        </w:rPr>
        <w:t>（一）加强组织管理</w:t>
      </w:r>
    </w:p>
    <w:p>
      <w:pPr>
        <w:keepNext w:val="0"/>
        <w:keepLines w:val="0"/>
        <w:pageBreakBefore w:val="0"/>
        <w:widowControl/>
        <w:kinsoku/>
        <w:wordWrap/>
        <w:overflowPunct/>
        <w:topLinePunct w:val="0"/>
        <w:bidi w:val="0"/>
        <w:snapToGrid w:val="0"/>
        <w:spacing w:line="560" w:lineRule="exact"/>
        <w:ind w:firstLine="480" w:firstLineChars="15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医疗机构要成立日间手术管理委员会，由医务管理部门在管理委员会的指导下负责医院日间手术的管理，做好日间手术管理制度的制定并组织实施。日间手术中心或日间手术室可以独立设置，也可在现有手术室预留手术间。独立设置的日间手术室或日间手术中心应符合相关技术规定要求。</w:t>
      </w:r>
    </w:p>
    <w:p>
      <w:pPr>
        <w:keepNext w:val="0"/>
        <w:keepLines w:val="0"/>
        <w:pageBreakBefore w:val="0"/>
        <w:widowControl/>
        <w:kinsoku/>
        <w:wordWrap/>
        <w:overflowPunct/>
        <w:topLinePunct w:val="0"/>
        <w:bidi w:val="0"/>
        <w:snapToGrid w:val="0"/>
        <w:spacing w:line="560" w:lineRule="exact"/>
        <w:ind w:firstLine="630"/>
        <w:textAlignment w:val="auto"/>
        <w:rPr>
          <w:rFonts w:hint="eastAsia" w:ascii="Times New Roman" w:hAnsi="Times New Roman" w:eastAsia="方正楷体_GBK" w:cs="方正仿宋_GBK"/>
          <w:bCs/>
          <w:sz w:val="32"/>
          <w:szCs w:val="32"/>
        </w:rPr>
      </w:pPr>
      <w:r>
        <w:rPr>
          <w:rFonts w:hint="eastAsia" w:ascii="Times New Roman" w:hAnsi="Times New Roman" w:eastAsia="方正楷体_GBK" w:cs="方正仿宋_GBK"/>
          <w:bCs/>
          <w:sz w:val="32"/>
          <w:szCs w:val="32"/>
        </w:rPr>
        <w:t>（二）完善制度流程</w:t>
      </w:r>
    </w:p>
    <w:p>
      <w:pPr>
        <w:keepNext w:val="0"/>
        <w:keepLines w:val="0"/>
        <w:pageBreakBefore w:val="0"/>
        <w:widowControl/>
        <w:kinsoku/>
        <w:wordWrap/>
        <w:overflowPunct/>
        <w:topLinePunct w:val="0"/>
        <w:bidi w:val="0"/>
        <w:snapToGrid w:val="0"/>
        <w:spacing w:line="560" w:lineRule="exact"/>
        <w:ind w:firstLine="480" w:firstLineChars="15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医疗机构要按照手术操作指南或规范、标准和卫生健康部门组织制定的相关病种临床路径，制定和完善本单位日间手术质量管理制度，进一步明确各病种及术式适应症、禁忌症，优化患者就诊流程，规范出院后康复指导等；建立日间手术人员岗位责任，明确岗位职责，加强日间手术质量、技术操作管理。医疗机构严格医务人员资质准入和患者遴选；制定应急预案，加强质量管理，细化质控标准，开展督导检查，加强关键部门、关键环节管理，保障医疗质量和安全；鼓励建立日间手术院内绿色通道和与社区医疗机构无缝化对接的双向转诊通道，确保日间手术流程规范、运行顺畅，全面做好日间手术的监管工作。</w:t>
      </w:r>
    </w:p>
    <w:p>
      <w:pPr>
        <w:keepNext w:val="0"/>
        <w:keepLines w:val="0"/>
        <w:pageBreakBefore w:val="0"/>
        <w:widowControl/>
        <w:kinsoku/>
        <w:wordWrap/>
        <w:overflowPunct/>
        <w:topLinePunct w:val="0"/>
        <w:bidi w:val="0"/>
        <w:snapToGrid w:val="0"/>
        <w:spacing w:line="560" w:lineRule="exact"/>
        <w:ind w:firstLine="630"/>
        <w:textAlignment w:val="auto"/>
        <w:rPr>
          <w:rFonts w:hint="eastAsia" w:ascii="Times New Roman" w:hAnsi="Times New Roman" w:eastAsia="方正楷体_GBK" w:cs="方正仿宋_GBK"/>
          <w:bCs/>
          <w:sz w:val="32"/>
          <w:szCs w:val="32"/>
        </w:rPr>
      </w:pPr>
      <w:r>
        <w:rPr>
          <w:rFonts w:hint="eastAsia" w:ascii="Times New Roman" w:hAnsi="Times New Roman" w:eastAsia="方正楷体_GBK" w:cs="方正仿宋_GBK"/>
          <w:bCs/>
          <w:sz w:val="32"/>
          <w:szCs w:val="32"/>
        </w:rPr>
        <w:t>（三）规范诊疗行为</w:t>
      </w:r>
    </w:p>
    <w:p>
      <w:pPr>
        <w:keepNext w:val="0"/>
        <w:keepLines w:val="0"/>
        <w:pageBreakBefore w:val="0"/>
        <w:widowControl/>
        <w:kinsoku/>
        <w:wordWrap/>
        <w:overflowPunct/>
        <w:topLinePunct w:val="0"/>
        <w:bidi w:val="0"/>
        <w:snapToGrid w:val="0"/>
        <w:spacing w:line="560" w:lineRule="exact"/>
        <w:ind w:firstLine="645"/>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医疗机构要认真组织实施日间手术工作，提高医疗效率，加强环节控制，规范诊疗行为，控制和降低手术和住院费用。规范日间手术病历的书写和管理，确保病历质量。</w:t>
      </w:r>
    </w:p>
    <w:p>
      <w:pPr>
        <w:keepNext w:val="0"/>
        <w:keepLines w:val="0"/>
        <w:pageBreakBefore w:val="0"/>
        <w:kinsoku/>
        <w:wordWrap/>
        <w:overflowPunct/>
        <w:topLinePunct w:val="0"/>
        <w:autoSpaceDE w:val="0"/>
        <w:autoSpaceDN w:val="0"/>
        <w:bidi w:val="0"/>
        <w:adjustRightInd w:val="0"/>
        <w:spacing w:line="560" w:lineRule="exact"/>
        <w:ind w:firstLine="640"/>
        <w:jc w:val="left"/>
        <w:textAlignment w:val="auto"/>
        <w:rPr>
          <w:rFonts w:hint="eastAsia"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五、部门职责及要求</w:t>
      </w:r>
    </w:p>
    <w:p>
      <w:pPr>
        <w:keepNext w:val="0"/>
        <w:keepLines w:val="0"/>
        <w:pageBreakBefore w:val="0"/>
        <w:widowControl/>
        <w:kinsoku/>
        <w:wordWrap/>
        <w:overflowPunct/>
        <w:topLinePunct w:val="0"/>
        <w:bidi w:val="0"/>
        <w:snapToGrid w:val="0"/>
        <w:spacing w:line="560" w:lineRule="exact"/>
        <w:ind w:firstLine="630"/>
        <w:textAlignment w:val="auto"/>
        <w:rPr>
          <w:rFonts w:hint="eastAsia" w:ascii="Times New Roman" w:hAnsi="Times New Roman" w:eastAsia="方正楷体_GBK" w:cs="方正仿宋_GBK"/>
          <w:bCs/>
          <w:sz w:val="32"/>
          <w:szCs w:val="32"/>
        </w:rPr>
      </w:pPr>
      <w:r>
        <w:rPr>
          <w:rFonts w:hint="eastAsia" w:ascii="Times New Roman" w:hAnsi="Times New Roman" w:eastAsia="方正楷体_GBK" w:cs="方正仿宋_GBK"/>
          <w:bCs/>
          <w:sz w:val="32"/>
          <w:szCs w:val="32"/>
        </w:rPr>
        <w:t>（一）医疗机构职责</w:t>
      </w:r>
    </w:p>
    <w:p>
      <w:pPr>
        <w:keepNext w:val="0"/>
        <w:keepLines w:val="0"/>
        <w:pageBreakBefore w:val="0"/>
        <w:widowControl/>
        <w:kinsoku/>
        <w:wordWrap/>
        <w:overflowPunct/>
        <w:topLinePunct w:val="0"/>
        <w:bidi w:val="0"/>
        <w:snapToGrid w:val="0"/>
        <w:spacing w:line="56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日间手术对于引导医疗机构进一步加强内部管理，优化服务流程，提高服务效率具有重要意义。各医疗机构要切实加强组织领导，将日间手术纳入日常工作重点，建立部门协调推进机制，加强日间手术管理、指导、监督和评估。</w:t>
      </w:r>
    </w:p>
    <w:p>
      <w:pPr>
        <w:keepNext w:val="0"/>
        <w:keepLines w:val="0"/>
        <w:pageBreakBefore w:val="0"/>
        <w:widowControl/>
        <w:kinsoku/>
        <w:wordWrap/>
        <w:overflowPunct/>
        <w:topLinePunct w:val="0"/>
        <w:bidi w:val="0"/>
        <w:snapToGrid w:val="0"/>
        <w:spacing w:line="560" w:lineRule="exact"/>
        <w:ind w:firstLine="630"/>
        <w:textAlignment w:val="auto"/>
        <w:rPr>
          <w:rFonts w:hint="eastAsia" w:ascii="Times New Roman" w:hAnsi="Times New Roman" w:eastAsia="方正楷体_GBK" w:cs="方正仿宋_GBK"/>
          <w:bCs/>
          <w:sz w:val="32"/>
          <w:szCs w:val="32"/>
        </w:rPr>
      </w:pPr>
      <w:r>
        <w:rPr>
          <w:rFonts w:hint="eastAsia" w:ascii="Times New Roman" w:hAnsi="Times New Roman" w:eastAsia="方正楷体_GBK" w:cs="方正仿宋_GBK"/>
          <w:bCs/>
          <w:sz w:val="32"/>
          <w:szCs w:val="32"/>
        </w:rPr>
        <w:t>（二）行政部门职责</w:t>
      </w:r>
    </w:p>
    <w:p>
      <w:pPr>
        <w:keepNext w:val="0"/>
        <w:keepLines w:val="0"/>
        <w:pageBreakBefore w:val="0"/>
        <w:widowControl/>
        <w:kinsoku/>
        <w:wordWrap/>
        <w:overflowPunct/>
        <w:topLinePunct w:val="0"/>
        <w:bidi w:val="0"/>
        <w:snapToGrid w:val="0"/>
        <w:spacing w:line="56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卫生健康行政部门要加强对日间手术的组织和管理，建立完善日间手术管理制度和技术文件，规范诊疗行为，控制医疗费用。医疗保障部门要给予政策支持，做好相关医保信息系统改造和费用结算工作，规范日间手术费用结算和报销流程，指导有关医疗机构准确上传费用明细。</w:t>
      </w:r>
    </w:p>
    <w:p>
      <w:pPr>
        <w:keepNext w:val="0"/>
        <w:keepLines w:val="0"/>
        <w:pageBreakBefore w:val="0"/>
        <w:kinsoku/>
        <w:wordWrap/>
        <w:overflowPunct/>
        <w:topLinePunct w:val="0"/>
        <w:bidi w:val="0"/>
        <w:spacing w:line="560" w:lineRule="exact"/>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本通知自2021年2月1日起执行，《</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重庆市医疗保障局重庆市财政局重庆市卫生健康委员会关于印发重庆市医院日间手术</w:t>
      </w:r>
      <w:r>
        <w:rPr>
          <w:rFonts w:hint="eastAsia" w:ascii="Times New Roman" w:hAnsi="Times New Roman" w:eastAsia="方正仿宋_GBK" w:cs="方正仿宋_GBK"/>
          <w:sz w:val="32"/>
          <w:szCs w:val="32"/>
          <w:lang w:eastAsia="zh-CN"/>
        </w:rPr>
        <w:t>基本医疗保险</w:t>
      </w:r>
      <w:r>
        <w:rPr>
          <w:rFonts w:hint="eastAsia" w:ascii="Times New Roman" w:hAnsi="Times New Roman" w:eastAsia="方正仿宋_GBK" w:cs="方正仿宋_GBK"/>
          <w:sz w:val="32"/>
          <w:szCs w:val="32"/>
        </w:rPr>
        <w:t>试点工作方案的通知》</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渝医保发〔201</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sz w:val="32"/>
          <w:szCs w:val="32"/>
          <w:lang w:val="en-US" w:eastAsia="zh-CN"/>
        </w:rPr>
        <w:t>）同时废止。</w:t>
      </w:r>
    </w:p>
    <w:p>
      <w:pPr>
        <w:keepNext w:val="0"/>
        <w:keepLines w:val="0"/>
        <w:pageBreakBefore w:val="0"/>
        <w:widowControl/>
        <w:kinsoku/>
        <w:wordWrap/>
        <w:overflowPunct/>
        <w:topLinePunct w:val="0"/>
        <w:bidi w:val="0"/>
        <w:snapToGrid w:val="0"/>
        <w:spacing w:line="560" w:lineRule="exact"/>
        <w:ind w:firstLine="1600" w:firstLineChars="500"/>
        <w:textAlignment w:val="auto"/>
        <w:rPr>
          <w:rFonts w:ascii="Times New Roman" w:hAnsi="Times New Roman"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outlineLvl w:val="9"/>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附件：重庆市日间手术目录</w:t>
      </w:r>
    </w:p>
    <w:p>
      <w:pPr>
        <w:keepNext w:val="0"/>
        <w:keepLines w:val="0"/>
        <w:pageBreakBefore w:val="0"/>
        <w:widowControl w:val="0"/>
        <w:tabs>
          <w:tab w:val="left" w:pos="690"/>
        </w:tabs>
        <w:kinsoku/>
        <w:wordWrap/>
        <w:overflowPunct/>
        <w:topLinePunct w:val="0"/>
        <w:autoSpaceDE/>
        <w:autoSpaceDN/>
        <w:bidi w:val="0"/>
        <w:adjustRightInd/>
        <w:snapToGrid/>
        <w:spacing w:line="560" w:lineRule="exact"/>
        <w:ind w:firstLine="0" w:firstLineChars="0"/>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690"/>
        </w:tabs>
        <w:kinsoku/>
        <w:wordWrap/>
        <w:overflowPunct/>
        <w:topLinePunct w:val="0"/>
        <w:autoSpaceDE/>
        <w:autoSpaceDN/>
        <w:bidi w:val="0"/>
        <w:adjustRightInd/>
        <w:snapToGrid/>
        <w:spacing w:line="560" w:lineRule="exact"/>
        <w:ind w:firstLine="0" w:firstLineChars="0"/>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690"/>
        </w:tabs>
        <w:kinsoku/>
        <w:wordWrap/>
        <w:overflowPunct/>
        <w:topLinePunct w:val="0"/>
        <w:autoSpaceDE/>
        <w:autoSpaceDN/>
        <w:bidi w:val="0"/>
        <w:adjustRightInd/>
        <w:snapToGrid/>
        <w:spacing w:line="560" w:lineRule="exact"/>
        <w:ind w:firstLine="0" w:firstLineChars="0"/>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690"/>
        </w:tabs>
        <w:kinsoku/>
        <w:wordWrap/>
        <w:overflowPunct/>
        <w:topLinePunct w:val="0"/>
        <w:autoSpaceDE/>
        <w:autoSpaceDN/>
        <w:bidi w:val="0"/>
        <w:adjustRightInd/>
        <w:snapToGrid/>
        <w:spacing w:line="560" w:lineRule="exact"/>
        <w:ind w:firstLine="0" w:firstLineChars="0"/>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690"/>
        </w:tabs>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rPr>
        <w:t xml:space="preserve">重庆市医疗保障局    </w:t>
      </w:r>
      <w:r>
        <w:rPr>
          <w:rFonts w:hint="eastAsia" w:ascii="Times New Roman" w:hAnsi="Times New Roman" w:eastAsia="方正仿宋_GBK"/>
          <w:sz w:val="32"/>
          <w:szCs w:val="32"/>
          <w:lang w:val="en-US" w:eastAsia="zh-CN"/>
        </w:rPr>
        <w:t xml:space="preserve"> </w:t>
      </w:r>
      <w:r>
        <w:rPr>
          <w:rFonts w:hint="eastAsia" w:eastAsia="方正仿宋_GBK"/>
          <w:sz w:val="32"/>
          <w:szCs w:val="32"/>
          <w:lang w:val="en-US" w:eastAsia="zh-CN"/>
        </w:rPr>
        <w:t xml:space="preserve">     </w:t>
      </w:r>
      <w:r>
        <w:rPr>
          <w:rFonts w:hint="eastAsia" w:ascii="Times New Roman" w:hAnsi="Times New Roman" w:eastAsia="方正仿宋_GBK"/>
          <w:sz w:val="32"/>
          <w:szCs w:val="32"/>
        </w:rPr>
        <w:t xml:space="preserve"> 重庆市卫生健康委员会</w:t>
      </w:r>
    </w:p>
    <w:p>
      <w:pPr>
        <w:keepNext w:val="0"/>
        <w:keepLines w:val="0"/>
        <w:pageBreakBefore w:val="0"/>
        <w:widowControl w:val="0"/>
        <w:tabs>
          <w:tab w:val="left" w:pos="690"/>
        </w:tabs>
        <w:kinsoku/>
        <w:wordWrap/>
        <w:overflowPunct/>
        <w:topLinePunct w:val="0"/>
        <w:autoSpaceDE/>
        <w:autoSpaceDN/>
        <w:bidi w:val="0"/>
        <w:adjustRightInd/>
        <w:snapToGrid/>
        <w:spacing w:line="560" w:lineRule="exact"/>
        <w:ind w:firstLine="0" w:firstLineChars="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ab/>
      </w:r>
      <w:r>
        <w:rPr>
          <w:rFonts w:hint="eastAsia" w:eastAsia="方正仿宋_GBK"/>
          <w:sz w:val="32"/>
          <w:szCs w:val="32"/>
          <w:lang w:val="en-US" w:eastAsia="zh-CN"/>
        </w:rPr>
        <w:t xml:space="preserve">          </w:t>
      </w:r>
      <w:r>
        <w:rPr>
          <w:rFonts w:hint="eastAsia" w:ascii="Times New Roman" w:hAnsi="Times New Roman" w:eastAsia="方正仿宋_GBK"/>
          <w:sz w:val="32"/>
          <w:szCs w:val="32"/>
        </w:rPr>
        <w:t>2021年1月</w:t>
      </w:r>
      <w:r>
        <w:rPr>
          <w:rFonts w:hint="eastAsia" w:ascii="Times New Roman" w:hAnsi="Times New Roman" w:eastAsia="方正仿宋_GBK"/>
          <w:sz w:val="32"/>
          <w:szCs w:val="32"/>
          <w:lang w:val="en-US" w:eastAsia="zh-CN"/>
        </w:rPr>
        <w:t>14</w:t>
      </w:r>
      <w:r>
        <w:rPr>
          <w:rFonts w:hint="eastAsia" w:ascii="Times New Roman" w:hAnsi="Times New Roman" w:eastAsia="方正仿宋_GBK"/>
          <w:sz w:val="32"/>
          <w:szCs w:val="32"/>
        </w:rPr>
        <w:t>日</w:t>
      </w:r>
    </w:p>
    <w:p>
      <w:pPr>
        <w:keepNext w:val="0"/>
        <w:keepLines w:val="0"/>
        <w:pageBreakBefore w:val="0"/>
        <w:widowControl w:val="0"/>
        <w:tabs>
          <w:tab w:val="left" w:pos="4740"/>
        </w:tabs>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（此件公开</w:t>
      </w:r>
      <w:r>
        <w:rPr>
          <w:rFonts w:hint="eastAsia" w:ascii="Times New Roman" w:hAnsi="Times New Roman" w:eastAsia="方正仿宋_GBK"/>
          <w:sz w:val="32"/>
          <w:szCs w:val="32"/>
          <w:lang w:eastAsia="zh-CN"/>
        </w:rPr>
        <w:t>发布</w:t>
      </w:r>
      <w:r>
        <w:rPr>
          <w:rFonts w:hint="eastAsia" w:ascii="Times New Roman" w:hAnsi="Times New Roman" w:eastAsia="方正仿宋_GBK"/>
          <w:sz w:val="32"/>
          <w:szCs w:val="32"/>
        </w:rPr>
        <w:t>）</w:t>
      </w:r>
    </w:p>
    <w:p>
      <w:pPr>
        <w:keepNext w:val="0"/>
        <w:keepLines w:val="0"/>
        <w:pageBreakBefore w:val="0"/>
        <w:widowControl w:val="0"/>
        <w:tabs>
          <w:tab w:val="left" w:pos="4740"/>
        </w:tabs>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sz w:val="32"/>
          <w:szCs w:val="32"/>
        </w:rPr>
        <w:sectPr>
          <w:footerReference r:id="rId3" w:type="default"/>
          <w:pgSz w:w="11906" w:h="16838"/>
          <w:pgMar w:top="2098" w:right="1474" w:bottom="1984" w:left="1587" w:header="851" w:footer="992" w:gutter="0"/>
          <w:pgNumType w:fmt="numberInDash"/>
          <w:cols w:space="0" w:num="1"/>
          <w:rtlGutter w:val="0"/>
          <w:docGrid w:type="lines" w:linePitch="439" w:charSpace="0"/>
        </w:sectPr>
      </w:pPr>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left"/>
        <w:textAlignment w:val="auto"/>
        <w:outlineLvl w:val="9"/>
        <w:rPr>
          <w:rFonts w:ascii="方正黑体_GBK" w:hAnsi="方正小标宋_GBK" w:eastAsia="方正黑体_GBK" w:cs="方正小标宋_GBK"/>
          <w:sz w:val="32"/>
          <w:szCs w:val="32"/>
        </w:rPr>
      </w:pPr>
      <w:r>
        <w:rPr>
          <w:rFonts w:hint="eastAsia" w:ascii="方正黑体_GBK" w:hAnsi="方正小标宋_GBK" w:eastAsia="方正黑体_GBK" w:cs="方正小标宋_GBK"/>
          <w:sz w:val="32"/>
          <w:szCs w:val="32"/>
        </w:rPr>
        <w:t>附件</w:t>
      </w:r>
      <w:bookmarkStart w:id="0" w:name="_GoBack"/>
      <w:bookmarkEnd w:id="0"/>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textAlignment w:val="auto"/>
        <w:outlineLvl w:val="9"/>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重庆市日间手术目录</w:t>
      </w:r>
    </w:p>
    <w:tbl>
      <w:tblPr>
        <w:tblStyle w:val="12"/>
        <w:tblpPr w:leftFromText="180" w:rightFromText="180" w:vertAnchor="text" w:horzAnchor="page" w:tblpXSpec="center" w:tblpY="591"/>
        <w:tblOverlap w:val="never"/>
        <w:tblW w:w="13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97"/>
        <w:gridCol w:w="3842"/>
        <w:gridCol w:w="2186"/>
        <w:gridCol w:w="3947"/>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黑体_GBK" w:cs="黑体"/>
                <w:color w:val="000000"/>
                <w:sz w:val="21"/>
                <w:szCs w:val="21"/>
              </w:rPr>
            </w:pPr>
            <w:r>
              <w:rPr>
                <w:rFonts w:hint="eastAsia" w:ascii="Times New Roman" w:hAnsi="Times New Roman" w:eastAsia="方正黑体_GBK" w:cs="黑体"/>
                <w:color w:val="000000"/>
                <w:sz w:val="21"/>
                <w:szCs w:val="21"/>
              </w:rPr>
              <w:t>序号</w:t>
            </w:r>
          </w:p>
        </w:tc>
        <w:tc>
          <w:tcPr>
            <w:tcW w:w="129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黑体_GBK" w:cs="黑体"/>
                <w:color w:val="000000"/>
                <w:sz w:val="21"/>
                <w:szCs w:val="21"/>
              </w:rPr>
            </w:pPr>
            <w:r>
              <w:rPr>
                <w:rFonts w:hint="eastAsia" w:ascii="Times New Roman" w:hAnsi="Times New Roman" w:eastAsia="方正黑体_GBK" w:cs="黑体"/>
                <w:color w:val="000000"/>
                <w:sz w:val="21"/>
                <w:szCs w:val="21"/>
              </w:rPr>
              <w:t>专业</w:t>
            </w: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黑体_GBK" w:cs="黑体"/>
                <w:color w:val="000000"/>
                <w:sz w:val="21"/>
                <w:szCs w:val="21"/>
              </w:rPr>
            </w:pPr>
            <w:r>
              <w:rPr>
                <w:rFonts w:hint="eastAsia" w:ascii="Times New Roman" w:hAnsi="Times New Roman" w:eastAsia="方正黑体_GBK" w:cs="黑体"/>
                <w:color w:val="000000"/>
                <w:sz w:val="21"/>
                <w:szCs w:val="21"/>
              </w:rPr>
              <w:t>疾病名称</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黑体_GBK" w:cs="黑体"/>
                <w:color w:val="000000"/>
                <w:sz w:val="21"/>
                <w:szCs w:val="21"/>
              </w:rPr>
            </w:pPr>
            <w:r>
              <w:rPr>
                <w:rFonts w:hint="eastAsia" w:ascii="Times New Roman" w:hAnsi="Times New Roman" w:eastAsia="方正黑体_GBK" w:cs="黑体"/>
                <w:color w:val="000000"/>
                <w:sz w:val="21"/>
                <w:szCs w:val="21"/>
              </w:rPr>
              <w:t>（对应疾病分类代码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黑体_GBK" w:cs="黑体"/>
                <w:color w:val="000000"/>
                <w:sz w:val="21"/>
                <w:szCs w:val="21"/>
              </w:rPr>
            </w:pPr>
            <w:r>
              <w:rPr>
                <w:rFonts w:hint="eastAsia" w:ascii="Times New Roman" w:hAnsi="Times New Roman" w:eastAsia="方正黑体_GBK" w:cs="黑体"/>
                <w:color w:val="000000"/>
                <w:sz w:val="21"/>
                <w:szCs w:val="21"/>
              </w:rPr>
              <w:t>国家临床版2.0）</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黑体_GBK" w:cs="黑体"/>
                <w:color w:val="000000"/>
                <w:sz w:val="21"/>
                <w:szCs w:val="21"/>
              </w:rPr>
            </w:pPr>
            <w:r>
              <w:rPr>
                <w:rFonts w:hint="eastAsia" w:ascii="Times New Roman" w:hAnsi="Times New Roman" w:eastAsia="方正黑体_GBK" w:cs="黑体"/>
                <w:color w:val="000000"/>
                <w:sz w:val="21"/>
                <w:szCs w:val="21"/>
              </w:rPr>
              <w:t>疾病编码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黑体_GBK" w:cs="黑体"/>
                <w:color w:val="000000"/>
                <w:sz w:val="21"/>
                <w:szCs w:val="21"/>
              </w:rPr>
            </w:pPr>
            <w:r>
              <w:rPr>
                <w:rFonts w:hint="eastAsia" w:ascii="Times New Roman" w:hAnsi="Times New Roman" w:eastAsia="方正黑体_GBK" w:cs="黑体"/>
                <w:color w:val="000000"/>
                <w:sz w:val="21"/>
                <w:szCs w:val="21"/>
              </w:rPr>
              <w:t>（对应疾病分类代码国家临床版2.0）</w:t>
            </w:r>
          </w:p>
        </w:tc>
        <w:tc>
          <w:tcPr>
            <w:tcW w:w="3947"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eastAsia="方正黑体_GBK" w:cs="黑体"/>
                <w:color w:val="000000"/>
                <w:sz w:val="21"/>
                <w:szCs w:val="21"/>
              </w:rPr>
            </w:pPr>
            <w:r>
              <w:rPr>
                <w:rFonts w:hint="eastAsia" w:ascii="Times New Roman" w:hAnsi="Times New Roman" w:eastAsia="方正黑体_GBK" w:cs="黑体"/>
                <w:color w:val="000000"/>
                <w:sz w:val="21"/>
                <w:szCs w:val="21"/>
              </w:rPr>
              <w:t>手术名称</w:t>
            </w:r>
          </w:p>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黑体_GBK" w:cs="黑体"/>
                <w:color w:val="000000"/>
                <w:sz w:val="21"/>
                <w:szCs w:val="21"/>
              </w:rPr>
            </w:pPr>
            <w:r>
              <w:rPr>
                <w:rFonts w:hint="eastAsia" w:ascii="Times New Roman" w:hAnsi="Times New Roman" w:eastAsia="方正黑体_GBK" w:cs="黑体"/>
                <w:color w:val="000000"/>
                <w:sz w:val="21"/>
                <w:szCs w:val="21"/>
              </w:rPr>
              <w:t>（对应手术操作代码国家</w:t>
            </w:r>
          </w:p>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eastAsia="方正黑体_GBK" w:cs="黑体"/>
                <w:color w:val="000000"/>
                <w:sz w:val="21"/>
                <w:szCs w:val="21"/>
              </w:rPr>
            </w:pPr>
            <w:r>
              <w:rPr>
                <w:rFonts w:hint="eastAsia" w:ascii="Times New Roman" w:hAnsi="Times New Roman" w:eastAsia="方正黑体_GBK" w:cs="黑体"/>
                <w:color w:val="000000"/>
                <w:sz w:val="21"/>
                <w:szCs w:val="21"/>
              </w:rPr>
              <w:t>临床版2.0）</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eastAsia="方正黑体_GBK" w:cs="黑体"/>
                <w:color w:val="000000"/>
                <w:sz w:val="21"/>
                <w:szCs w:val="21"/>
              </w:rPr>
            </w:pPr>
            <w:r>
              <w:rPr>
                <w:rFonts w:hint="eastAsia" w:ascii="Times New Roman" w:hAnsi="Times New Roman" w:eastAsia="方正黑体_GBK" w:cs="黑体"/>
                <w:color w:val="000000"/>
                <w:sz w:val="21"/>
                <w:szCs w:val="21"/>
              </w:rPr>
              <w:t>ICD-9-CM-3编码（对应手术操作代码国家临床版2.0）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w:t>
            </w:r>
          </w:p>
        </w:tc>
        <w:tc>
          <w:tcPr>
            <w:tcW w:w="12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眼科</w:t>
            </w: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上睑下垂</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H02.400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上睑下垂修补术，用额肌法伴筋膜吊带法</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08.32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青光眼</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H40.200x002</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外路小梁切除术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虹膜周边切除术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12.1403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麻痹性斜视</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H49.900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pacing w:val="-20"/>
                <w:sz w:val="21"/>
                <w:szCs w:val="21"/>
              </w:rPr>
              <w:t>眼外肌手术后的修复术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15.6x00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麻痹性斜视/会聚性共同性斜视/散开性共同性斜视/垂直斜视/间歇性斜视/斜视，其他和未特指的/机械性斜视/斜视，其他特指的</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H49.</w:t>
            </w:r>
            <w:r>
              <w:rPr>
                <w:rFonts w:ascii="Times New Roman" w:hAnsi="Times New Roman" w:eastAsia="方正仿宋_GBK" w:cs="仿宋_GB2312"/>
                <w:color w:val="000000"/>
                <w:sz w:val="21"/>
                <w:szCs w:val="21"/>
              </w:rPr>
              <w:t>900</w:t>
            </w:r>
            <w:r>
              <w:rPr>
                <w:rFonts w:hint="eastAsia" w:ascii="Times New Roman" w:hAnsi="Times New Roman" w:eastAsia="方正仿宋_GBK" w:cs="仿宋_GB2312"/>
                <w:color w:val="000000"/>
                <w:sz w:val="21"/>
                <w:szCs w:val="21"/>
              </w:rPr>
              <w:t>/H50.000/H50.100/H50.200/H50.300/H50.400/H50.600/H50.800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眼外肌手术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15.1/15.2/15.3/15.4/15.5/15.9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渗出性年龄相关性黄斑变性/黄斑视网膜变性，未特指/黄斑下新生血管形成/视网膜水肿/视网膜层间分离，未特指的</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H35.300x011/H35.300x001/H35.012/H47.101/H35.700/H35.100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玻璃体腔药物注射术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14.7903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7</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视网膜脱离或裂孔/孔源性视网膜脱离</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H33.200x002/H33.304/H33.001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视网膜注气复位术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14.5903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kern w:val="0"/>
                <w:sz w:val="21"/>
                <w:szCs w:val="21"/>
              </w:rPr>
              <w:t>黄斑裂孔</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H35.303</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黄斑裂孔封闭术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14.3901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9</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黄斑前膜</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H35.306</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黄斑前膜剥除术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14.2900x002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10</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眦角异位</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H02.800x014/</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H02.800x016</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内眦成形术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08.5900x004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外眦成形术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08.5900x005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12</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眦成形术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ascii="Times New Roman" w:hAnsi="Times New Roman" w:eastAsia="方正仿宋_GBK" w:cs="仿宋_GB2312"/>
                <w:color w:val="000000"/>
                <w:sz w:val="21"/>
                <w:szCs w:val="21"/>
              </w:rPr>
              <w:t>0</w:t>
            </w:r>
            <w:r>
              <w:rPr>
                <w:rFonts w:hint="eastAsia" w:ascii="Times New Roman" w:hAnsi="Times New Roman" w:eastAsia="方正仿宋_GBK" w:cs="仿宋_GB2312"/>
                <w:color w:val="000000"/>
                <w:sz w:val="21"/>
                <w:szCs w:val="21"/>
              </w:rPr>
              <w:t>8.5902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13</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kern w:val="0"/>
                <w:sz w:val="21"/>
                <w:szCs w:val="21"/>
              </w:rPr>
              <w:t>睑内翻/瘢痕性睑内翻</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H02.003/H02.000x004</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睑内/外翻矫正术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08.41-08.49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14</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kern w:val="0"/>
                <w:sz w:val="21"/>
                <w:szCs w:val="21"/>
              </w:rPr>
              <w:t>泪小管阻塞/泪道阻塞</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H04.505/H04.509</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泪道重建术+</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人工泪管置入术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09.7300x004+09.7301+09.4404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15</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泪小管探通术+</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人工泪管置入术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09.4200+09.4404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16</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泪小点狭窄</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H04.500x009</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泪点重建术+</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人工泪管置入术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09.7201+09.4404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17</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陈旧性泪小管断裂</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H04.801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泪小管吻合术+</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人工泪管置入术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09.7301+09.4404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18</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眼睑或眼周区疾患/眼睑黄色瘤</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H02.901/E78.200x001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眼睑病损切除术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08.2000x006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19</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翼状胬肉</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H11.000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翼状胬肉切除组织移植术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11.3200/11.3201/</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11.3202/11.3203/</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11.3901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20</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青光眼术后眼压失控/继发性青光眼/新生血管性青光眼/无晶状体性青光眼/绝对期青光眼/青少年型青光眼</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H40.000x004/H40.500x002/H40.501/H40.502/H44.501/Q15.005</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睫状体光凝固法</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睫状体光凝固法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21</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睫状体冷冻疗法</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睫状体冷冻疗法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22</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老年性白内障</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H25.0-H25.9</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白内障摘除伴人工晶体一期置入术/白内障超声乳化抽吸术</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13.7100x001/</w:t>
            </w:r>
            <w:r>
              <w:rPr>
                <w:rFonts w:hint="eastAsia" w:ascii="Times New Roman" w:hAnsi="Times New Roman" w:eastAsia="方正仿宋_GBK" w:cs="仿宋_GB2312"/>
                <w:color w:val="000000"/>
                <w:sz w:val="21"/>
                <w:szCs w:val="21"/>
              </w:rPr>
              <w:br w:type="textWrapping"/>
            </w:r>
            <w:r>
              <w:rPr>
                <w:rFonts w:hint="eastAsia" w:ascii="Times New Roman" w:hAnsi="Times New Roman" w:eastAsia="方正仿宋_GBK" w:cs="仿宋_GB2312"/>
                <w:color w:val="000000"/>
                <w:sz w:val="21"/>
                <w:szCs w:val="21"/>
              </w:rPr>
              <w:t>13.4100x001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23</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白内障摘除伴人工晶体一期置入术/白内障超声乳化抽吸术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13.7100x001/</w:t>
            </w:r>
            <w:r>
              <w:rPr>
                <w:rFonts w:hint="eastAsia" w:ascii="Times New Roman" w:hAnsi="Times New Roman" w:eastAsia="方正仿宋_GBK" w:cs="仿宋_GB2312"/>
                <w:color w:val="000000"/>
                <w:sz w:val="21"/>
                <w:szCs w:val="21"/>
              </w:rPr>
              <w:br w:type="textWrapping"/>
            </w:r>
            <w:r>
              <w:rPr>
                <w:rFonts w:hint="eastAsia" w:ascii="Times New Roman" w:hAnsi="Times New Roman" w:eastAsia="方正仿宋_GBK" w:cs="仿宋_GB2312"/>
                <w:color w:val="000000"/>
                <w:sz w:val="21"/>
                <w:szCs w:val="21"/>
              </w:rPr>
              <w:t>13.4100x001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24</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白内障超声乳化抽吸术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13.4100x001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25</w:t>
            </w:r>
          </w:p>
        </w:tc>
        <w:tc>
          <w:tcPr>
            <w:tcW w:w="12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耳鼻</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喉科</w:t>
            </w: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分泌性中耳炎</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H65.900x001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鼓膜切开术伴置管/内镜下鼓膜置管术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20.0100/20.0100x006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26</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鼓膜穿孔/鼓膜中心穿孔/鼓膜紧张部穿孔/鼓膜鼓室上隐窝穿孔/鼓膜松弛部穿孔/鼓膜边缘性穿孔</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H72.900/H72.000/H72.001/H72.100/</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H72.101/H72.200x001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鼓膜成形术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27</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耳廓良性肿瘤/耳廓肿物</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D23.200x002/</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H61.100x008</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耳廓病损切除术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18.2900x003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28</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鼻腔肿瘤/鼻腔良性肿瘤/鼻腔肿物/鼻窦肿物/鼻前庭肿物/鼻中隔肿物/鼻咽肿物/鼻部肿物</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D38.502/D14.000x003/J34.810/J32.906/J34.800x033/J34.800x034/J39.200x016/R22.003</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内镜下鼻内病损切除术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21.3104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29</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鼻息肉</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J33.900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内镜下鼻息肉切除术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21.3102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30</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鼻中隔偏曲</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J34.200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鼻中隔黏膜下切除术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21.5x00/21.8400x002/21.5x00x004/21.5x01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31</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鼻前庭囊肿</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J34.100x007</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鼻前庭病损切除术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21.3200x003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32</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腺样体肥大</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J35.200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腺样增殖体切除术</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不伴扁桃体切除术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33</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咽部囊肿</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J39.215</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咽部病损切除术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29.3901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34</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喉肿物/喉室带囊肿</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J38.708/J38.700x001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支撑喉镜下喉病损</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35</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会厌囊肿/会厌肉芽肿/</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会厌增生/会厌良性肿瘤</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J38.715/J38.717/</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D14.101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支撑喉镜下会厌病损切除术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30.0900x008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36</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鼻咽肿物/鼻咽囊肿/鼻咽良性肿瘤</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J39.200x016/J39.203/D10.600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内镜下鼻咽病损切除术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29.3908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37</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咽部肿物/口腔肿物</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J39.219/K13.702</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口腔病损切除术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27.4906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38</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咽部病损切除术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29.3901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39</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鼻出血</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R04.000</w:t>
            </w:r>
          </w:p>
        </w:tc>
        <w:tc>
          <w:tcPr>
            <w:tcW w:w="3947"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20"/>
                <w:sz w:val="21"/>
                <w:szCs w:val="21"/>
              </w:rPr>
            </w:pPr>
            <w:r>
              <w:rPr>
                <w:rFonts w:hint="eastAsia" w:ascii="Times New Roman" w:hAnsi="Times New Roman" w:eastAsia="方正仿宋_GBK" w:cs="仿宋_GB2312"/>
                <w:color w:val="000000"/>
                <w:sz w:val="21"/>
                <w:szCs w:val="21"/>
              </w:rPr>
              <w:t>鼻内窥镜下电凝止血术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21.0300x004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40</w:t>
            </w:r>
          </w:p>
        </w:tc>
        <w:tc>
          <w:tcPr>
            <w:tcW w:w="1297"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压扁鼻/后天性歪鼻/鼻翼肥大/鞍鼻</w:t>
            </w:r>
          </w:p>
        </w:tc>
        <w:tc>
          <w:tcPr>
            <w:tcW w:w="2186"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M95.007/M95.005/</w:t>
            </w:r>
          </w:p>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J34.812/M95.001</w:t>
            </w:r>
          </w:p>
        </w:tc>
        <w:tc>
          <w:tcPr>
            <w:tcW w:w="3947"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20"/>
                <w:sz w:val="21"/>
                <w:szCs w:val="21"/>
              </w:rPr>
            </w:pPr>
            <w:r>
              <w:rPr>
                <w:rFonts w:hint="eastAsia" w:ascii="Times New Roman" w:hAnsi="Times New Roman" w:eastAsia="方正仿宋_GBK" w:cs="仿宋_GB2312"/>
                <w:color w:val="000000"/>
                <w:sz w:val="21"/>
                <w:szCs w:val="21"/>
              </w:rPr>
              <w:t>隆鼻伴人工假体置入术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21.8500x004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41</w:t>
            </w:r>
          </w:p>
        </w:tc>
        <w:tc>
          <w:tcPr>
            <w:tcW w:w="1297"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先天性耳前瘘管</w:t>
            </w:r>
          </w:p>
        </w:tc>
        <w:tc>
          <w:tcPr>
            <w:tcW w:w="2186"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Q18.102</w:t>
            </w:r>
          </w:p>
        </w:tc>
        <w:tc>
          <w:tcPr>
            <w:tcW w:w="3947"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耳前瘘管切除术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18.2100x006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42</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慢性化脓性中耳炎</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H66.301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鼓室成形术,I型</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19.4x01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43</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内镜下鼓室成形术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19.4x00x005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44</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会厌良性肿瘤</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D14.101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支撑喉镜下会厌病损切除术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30.0900x008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45</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声带息肉</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J38.102</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支撑喉镜下声带病损切除术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30.0900x011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46</w:t>
            </w:r>
          </w:p>
        </w:tc>
        <w:tc>
          <w:tcPr>
            <w:tcW w:w="12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普通</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外科</w:t>
            </w: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低位肛瘘</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K60.302</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肛门瘘管切开术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49.1100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47</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肛周脓肿/肛门脓肿</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K61.001/K61.000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直肠周围脓肿切开引流术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48.8101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48</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肛周脓肿切开引流术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49.0100x004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49</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血栓性外痔/出血性外痔/脱垂性内痔</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I84.300/I84.401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痔切除术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50</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pacing w:val="-20"/>
                <w:sz w:val="21"/>
                <w:szCs w:val="21"/>
              </w:rPr>
              <w:t>吻合器痔上黏膜环切术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49.4900x003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51</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痔上直肠黏膜环形</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切除吻合术（PPH术）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49.4901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52</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单侧腹股沟疝，不伴有梗阻或坏疽</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K40.900x011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eastAsia"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单侧腹股沟直疝疝囊</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高位结扎术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53.0100x001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53</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eastAsia"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单侧腹股沟斜疝疝囊</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高位结扎术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54</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eastAsia"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腹腔镜下单侧腹股沟斜疝疝囊</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高位结扎术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55</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脐疝</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Q79.200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脐疝修补术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53.4901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56</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乳房良性肿瘤</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D24.x00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乳房病损局部切除术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85.2100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57</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乳房象限切除术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85.2200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58</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副乳房</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Q83.100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副乳腺切除术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85.2401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59</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肛瘘/高位肛瘘/低位肛瘘/</w:t>
            </w:r>
            <w:r>
              <w:rPr>
                <w:rFonts w:hint="eastAsia" w:ascii="Times New Roman" w:hAnsi="Times New Roman" w:eastAsia="方正仿宋_GBK" w:cs="仿宋_GB2312"/>
                <w:color w:val="000000"/>
                <w:sz w:val="21"/>
                <w:szCs w:val="21"/>
              </w:rPr>
              <w:br w:type="textWrapping"/>
            </w:r>
            <w:r>
              <w:rPr>
                <w:rFonts w:hint="eastAsia" w:ascii="Times New Roman" w:hAnsi="Times New Roman" w:eastAsia="方正仿宋_GBK" w:cs="仿宋_GB2312"/>
                <w:color w:val="000000"/>
                <w:sz w:val="21"/>
                <w:szCs w:val="21"/>
              </w:rPr>
              <w:t>复杂性肛瘘</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K60.300/K60.301/</w:t>
            </w:r>
            <w:r>
              <w:rPr>
                <w:rFonts w:hint="eastAsia" w:ascii="Times New Roman" w:hAnsi="Times New Roman" w:eastAsia="方正仿宋_GBK" w:cs="仿宋_GB2312"/>
                <w:color w:val="000000"/>
                <w:sz w:val="21"/>
                <w:szCs w:val="21"/>
              </w:rPr>
              <w:br w:type="textWrapping"/>
            </w:r>
            <w:r>
              <w:rPr>
                <w:rFonts w:hint="eastAsia" w:ascii="Times New Roman" w:hAnsi="Times New Roman" w:eastAsia="方正仿宋_GBK" w:cs="仿宋_GB2312"/>
                <w:color w:val="000000"/>
                <w:sz w:val="21"/>
                <w:szCs w:val="21"/>
              </w:rPr>
              <w:t>K60.302/K60.303</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肛瘘挂线术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49.7301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60</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下肢静脉曲张/大隐静脉曲张</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I83.900x004/I83.903</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大隐静脉主干激光闭合术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38.5900x003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61</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大隐静脉高位结扎和剥脱术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38.5901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62</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单侧或未特指的腹股沟疝，不伴有梗阻或坏疽/单侧腹股沟疝/单侧腹股沟斜疝/单侧腹股沟直疝/先天性腹股沟斜疝/单侧腹股沟疝，不伴有梗阻或坏疽</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K40.900/K40.900x002/K40.900x003/K40.900x004/K40.900x006/K40.900x011</w:t>
            </w:r>
          </w:p>
        </w:tc>
        <w:tc>
          <w:tcPr>
            <w:tcW w:w="394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单侧腹股沟疝修补术</w:t>
            </w:r>
            <w:r>
              <w:rPr>
                <w:rFonts w:hint="eastAsia" w:ascii="Times New Roman" w:hAnsi="Times New Roman" w:eastAsia="方正仿宋_GBK" w:cs="仿宋_GB2312"/>
                <w:color w:val="000000"/>
                <w:sz w:val="21"/>
                <w:szCs w:val="21"/>
              </w:rPr>
              <w:br w:type="textWrapping"/>
            </w:r>
            <w:r>
              <w:rPr>
                <w:rFonts w:hint="eastAsia" w:ascii="Times New Roman" w:hAnsi="Times New Roman" w:eastAsia="方正仿宋_GBK" w:cs="仿宋_GB2312"/>
                <w:color w:val="000000"/>
                <w:sz w:val="21"/>
                <w:szCs w:val="21"/>
              </w:rPr>
              <w:t>（包括无张力修补及疝囊高位结扎）</w:t>
            </w:r>
          </w:p>
        </w:tc>
        <w:tc>
          <w:tcPr>
            <w:tcW w:w="166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68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94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16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63</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乳腺良性肿瘤</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D24.x00x001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乳房病损切除术</w:t>
            </w:r>
          </w:p>
        </w:tc>
        <w:tc>
          <w:tcPr>
            <w:tcW w:w="166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85.2100x003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64</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乳腺区段切除术</w:t>
            </w:r>
          </w:p>
        </w:tc>
        <w:tc>
          <w:tcPr>
            <w:tcW w:w="16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65</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乳腺肿瘤旋切术</w:t>
            </w:r>
          </w:p>
        </w:tc>
        <w:tc>
          <w:tcPr>
            <w:tcW w:w="16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66</w:t>
            </w:r>
          </w:p>
        </w:tc>
        <w:tc>
          <w:tcPr>
            <w:tcW w:w="12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泌尿</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外科</w:t>
            </w: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输尿管结石</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N13.504</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20"/>
                <w:sz w:val="21"/>
                <w:szCs w:val="21"/>
              </w:rPr>
            </w:pPr>
            <w:r>
              <w:rPr>
                <w:rFonts w:hint="eastAsia" w:ascii="Times New Roman" w:hAnsi="Times New Roman" w:eastAsia="方正仿宋_GBK" w:cs="仿宋_GB2312"/>
                <w:color w:val="000000"/>
                <w:sz w:val="21"/>
                <w:szCs w:val="21"/>
              </w:rPr>
              <w:t>经尿道输尿管支架置入术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59.8x03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67</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20"/>
                <w:sz w:val="21"/>
                <w:szCs w:val="21"/>
              </w:rPr>
            </w:pPr>
            <w:r>
              <w:rPr>
                <w:rFonts w:hint="eastAsia" w:ascii="Times New Roman" w:hAnsi="Times New Roman" w:eastAsia="方正仿宋_GBK" w:cs="仿宋_GB2312"/>
                <w:color w:val="000000"/>
                <w:sz w:val="21"/>
                <w:szCs w:val="21"/>
              </w:rPr>
              <w:t>膀胱镜下输尿管扩张术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59.8x00x001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68</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取出输尿管支架管</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Z46.600x002</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输尿管镜输尿管支架取出术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97.6204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69</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膀胱镜输尿管支架</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取出术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97.6205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70</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尿道肿物</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N36.901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尿道病损切除术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58.3901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71</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单纯性肾囊肿</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N28.101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肾囊肿去顶术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55.0105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72</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尿道狭窄</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N35.900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尿道扩张</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58.6x00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73</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鞘膜积液</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N43</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睾丸鞘膜积液切除术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61.2x00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74</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无精子症</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N46.X01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显微镜下睾丸切开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取精术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62.9900x001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75</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阴囊肿物</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N50.902</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阴囊病损切除术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61.3x03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76</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精索静脉曲张</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I86.101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精索静脉高位结扎术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63.1x01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77</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尿道口息肉</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N36.201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尿道口病损切除术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58.3906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78</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附睾肿物</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N50.903</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附睾病损切除术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63.3x03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79</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阴茎硬结症</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N48.600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阴茎病损切除术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64.2x01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80</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梗阻性无精症</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N50.800x031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附睾输精管吻合术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81</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血精</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N50.102</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精囊镜探查术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60.1901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82</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膀胱结石</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N21.000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经尿道膀胱镜膀胱</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碎石钳碎石术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83</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睾丸肿物/无精症</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N50.901/N46.x01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闭合性[经皮][针吸]睾丸活组织检查</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3"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84</w:t>
            </w:r>
          </w:p>
        </w:tc>
        <w:tc>
          <w:tcPr>
            <w:tcW w:w="1297"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pacing w:val="-20"/>
                <w:sz w:val="21"/>
                <w:szCs w:val="21"/>
              </w:rPr>
              <w:t>开放性睾丸活组织检查</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85</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PSA增高，前列腺增生</w:t>
            </w:r>
          </w:p>
        </w:tc>
        <w:tc>
          <w:tcPr>
            <w:tcW w:w="2186"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R77.800x002/N40.x00</w:t>
            </w:r>
          </w:p>
        </w:tc>
        <w:tc>
          <w:tcPr>
            <w:tcW w:w="3947"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前列腺穿刺活检术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60.1101/60.1100x003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86</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肾囊肿</w:t>
            </w:r>
          </w:p>
        </w:tc>
        <w:tc>
          <w:tcPr>
            <w:tcW w:w="2186"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N28.1</w:t>
            </w:r>
          </w:p>
        </w:tc>
        <w:tc>
          <w:tcPr>
            <w:tcW w:w="3947"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肾囊肿硬化剂注射术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55.9601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87</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肾结石</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N20.000</w:t>
            </w:r>
          </w:p>
        </w:tc>
        <w:tc>
          <w:tcPr>
            <w:tcW w:w="3947"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hint="eastAsia" w:ascii="Times New Roman" w:hAnsi="Times New Roman" w:eastAsia="方正仿宋_GBK" w:cs="仿宋_GB2312"/>
                <w:color w:val="000000"/>
                <w:sz w:val="21"/>
                <w:szCs w:val="21"/>
                <w:lang w:eastAsia="zh-CN"/>
              </w:rPr>
            </w:pPr>
            <w:r>
              <w:rPr>
                <w:rFonts w:hint="eastAsia" w:ascii="Times New Roman" w:hAnsi="Times New Roman" w:eastAsia="方正仿宋_GBK" w:cs="仿宋_GB2312"/>
                <w:color w:val="000000"/>
                <w:sz w:val="21"/>
                <w:szCs w:val="21"/>
              </w:rPr>
              <w:t>经皮肾镜超声碎石取石术</w:t>
            </w:r>
            <w:r>
              <w:rPr>
                <w:rFonts w:hint="eastAsia" w:eastAsia="方正仿宋_GBK" w:cs="仿宋_GB2312"/>
                <w:color w:val="000000"/>
                <w:sz w:val="21"/>
                <w:szCs w:val="21"/>
                <w:lang w:eastAsia="zh-CN"/>
              </w:rPr>
              <w:t>（</w:t>
            </w:r>
            <w:r>
              <w:rPr>
                <w:rFonts w:hint="eastAsia" w:ascii="Times New Roman" w:hAnsi="Times New Roman" w:eastAsia="方正仿宋_GBK" w:cs="仿宋_GB2312"/>
                <w:color w:val="000000"/>
                <w:sz w:val="21"/>
                <w:szCs w:val="21"/>
              </w:rPr>
              <w:t>II期</w:t>
            </w:r>
            <w:r>
              <w:rPr>
                <w:rFonts w:hint="eastAsia" w:eastAsia="方正仿宋_GBK" w:cs="仿宋_GB2312"/>
                <w:color w:val="000000"/>
                <w:sz w:val="21"/>
                <w:szCs w:val="21"/>
                <w:lang w:eastAsia="zh-CN"/>
              </w:rPr>
              <w:t>）（</w:t>
            </w:r>
            <w:r>
              <w:rPr>
                <w:rFonts w:hint="eastAsia" w:ascii="Times New Roman" w:hAnsi="Times New Roman" w:eastAsia="方正仿宋_GBK" w:cs="仿宋_GB2312"/>
                <w:color w:val="000000"/>
                <w:sz w:val="21"/>
                <w:szCs w:val="21"/>
              </w:rPr>
              <w:t>再次住院</w:t>
            </w:r>
            <w:r>
              <w:rPr>
                <w:rFonts w:hint="eastAsia" w:eastAsia="方正仿宋_GBK" w:cs="仿宋_GB2312"/>
                <w:color w:val="000000"/>
                <w:sz w:val="21"/>
                <w:szCs w:val="21"/>
                <w:lang w:eastAsia="zh-CN"/>
              </w:rPr>
              <w:t>）</w:t>
            </w:r>
            <w:r>
              <w:rPr>
                <w:rFonts w:hint="eastAsia" w:ascii="Times New Roman" w:hAnsi="Times New Roman" w:eastAsia="方正仿宋_GBK" w:cs="仿宋_GB2312"/>
                <w:color w:val="000000"/>
                <w:sz w:val="21"/>
                <w:szCs w:val="21"/>
              </w:rPr>
              <w:t>/经皮肾镜超声碎石取石术</w:t>
            </w:r>
            <w:r>
              <w:rPr>
                <w:rFonts w:hint="eastAsia" w:eastAsia="方正仿宋_GBK" w:cs="仿宋_GB2312"/>
                <w:color w:val="000000"/>
                <w:sz w:val="21"/>
                <w:szCs w:val="21"/>
                <w:lang w:eastAsia="zh-CN"/>
              </w:rPr>
              <w:t>（</w:t>
            </w:r>
            <w:r>
              <w:rPr>
                <w:rFonts w:hint="eastAsia" w:ascii="Times New Roman" w:hAnsi="Times New Roman" w:eastAsia="方正仿宋_GBK" w:cs="仿宋_GB2312"/>
                <w:color w:val="000000"/>
                <w:sz w:val="21"/>
                <w:szCs w:val="21"/>
              </w:rPr>
              <w:t>II期</w:t>
            </w:r>
            <w:r>
              <w:rPr>
                <w:rFonts w:hint="eastAsia" w:eastAsia="方正仿宋_GBK" w:cs="仿宋_GB2312"/>
                <w:color w:val="000000"/>
                <w:sz w:val="21"/>
                <w:szCs w:val="21"/>
                <w:lang w:eastAsia="zh-CN"/>
              </w:rPr>
              <w:t>）（</w:t>
            </w:r>
            <w:r>
              <w:rPr>
                <w:rFonts w:hint="eastAsia" w:ascii="Times New Roman" w:hAnsi="Times New Roman" w:eastAsia="方正仿宋_GBK" w:cs="仿宋_GB2312"/>
                <w:color w:val="000000"/>
                <w:sz w:val="21"/>
                <w:szCs w:val="21"/>
              </w:rPr>
              <w:t>同次住院</w:t>
            </w:r>
            <w:r>
              <w:rPr>
                <w:rFonts w:hint="eastAsia" w:eastAsia="方正仿宋_GBK" w:cs="仿宋_GB2312"/>
                <w:color w:val="000000"/>
                <w:sz w:val="21"/>
                <w:szCs w:val="21"/>
                <w:lang w:eastAsia="zh-CN"/>
              </w:rPr>
              <w:t>）</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55.0400x005/</w:t>
            </w:r>
            <w:r>
              <w:rPr>
                <w:rFonts w:hint="eastAsia" w:ascii="Times New Roman" w:hAnsi="Times New Roman" w:eastAsia="方正仿宋_GBK" w:cs="仿宋_GB2312"/>
                <w:color w:val="000000"/>
                <w:sz w:val="21"/>
                <w:szCs w:val="21"/>
              </w:rPr>
              <w:br w:type="textWrapping"/>
            </w:r>
            <w:r>
              <w:rPr>
                <w:rFonts w:hint="eastAsia" w:ascii="Times New Roman" w:hAnsi="Times New Roman" w:eastAsia="方正仿宋_GBK" w:cs="仿宋_GB2312"/>
                <w:color w:val="000000"/>
                <w:sz w:val="21"/>
                <w:szCs w:val="21"/>
              </w:rPr>
              <w:t>55.0400x008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88</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输尿管结石</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N20.100</w:t>
            </w:r>
          </w:p>
        </w:tc>
        <w:tc>
          <w:tcPr>
            <w:tcW w:w="3947"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hint="eastAsia"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经尿道输尿管/肾盂激光碎</w:t>
            </w:r>
          </w:p>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石取石术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56.0x06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89</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经尿道输尿管/肾盂气压弹道碎石取石术</w:t>
            </w:r>
          </w:p>
        </w:tc>
        <w:tc>
          <w:tcPr>
            <w:tcW w:w="1661" w:type="dxa"/>
            <w:vAlign w:val="center"/>
          </w:tcPr>
          <w:p>
            <w:pPr>
              <w:keepNext w:val="0"/>
              <w:keepLines w:val="0"/>
              <w:pageBreakBefore w:val="0"/>
              <w:widowControl/>
              <w:kinsoku/>
              <w:wordWrap/>
              <w:overflowPunct/>
              <w:topLinePunct w:val="0"/>
              <w:autoSpaceDE/>
              <w:autoSpaceDN/>
              <w:bidi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56.0x07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90</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spacing w:line="26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kinsoku/>
              <w:wordWrap/>
              <w:overflowPunct/>
              <w:topLinePunct w:val="0"/>
              <w:autoSpaceDE/>
              <w:autoSpaceDN/>
              <w:bidi w:val="0"/>
              <w:spacing w:line="280" w:lineRule="exact"/>
              <w:jc w:val="center"/>
              <w:textAlignment w:val="auto"/>
              <w:outlineLvl w:val="9"/>
              <w:rPr>
                <w:rFonts w:hint="eastAsia"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经尿道输尿管/肾盂超声碎</w:t>
            </w:r>
          </w:p>
          <w:p>
            <w:pPr>
              <w:keepNext w:val="0"/>
              <w:keepLines w:val="0"/>
              <w:pageBreakBefore w:val="0"/>
              <w:widowControl/>
              <w:kinsoku/>
              <w:wordWrap/>
              <w:overflowPunct/>
              <w:topLinePunct w:val="0"/>
              <w:autoSpaceDE/>
              <w:autoSpaceDN/>
              <w:bidi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石取石术</w:t>
            </w:r>
          </w:p>
        </w:tc>
        <w:tc>
          <w:tcPr>
            <w:tcW w:w="1661" w:type="dxa"/>
            <w:vAlign w:val="center"/>
          </w:tcPr>
          <w:p>
            <w:pPr>
              <w:keepNext w:val="0"/>
              <w:keepLines w:val="0"/>
              <w:pageBreakBefore w:val="0"/>
              <w:widowControl/>
              <w:kinsoku/>
              <w:wordWrap/>
              <w:overflowPunct/>
              <w:topLinePunct w:val="0"/>
              <w:autoSpaceDE/>
              <w:autoSpaceDN/>
              <w:bidi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56.0x08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91</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鞘膜积液/睾丸鞘膜积液</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N43.300、N43.301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阴囊和睾丸鞘膜的其他修补术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92</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单侧睾丸未降-隐睾</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Q53.1/Q53.9</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睾丸固定术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62.5x00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93</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精索静脉曲张</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I86.101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精索静脉高位结扎术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63.1x01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94</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压力性尿失禁/张力性尿失禁</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N39.300/N39.300x001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经阴道无张力尿道悬吊术（TVT）</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59.5x01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95</w:t>
            </w:r>
          </w:p>
        </w:tc>
        <w:tc>
          <w:tcPr>
            <w:tcW w:w="12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妇科</w:t>
            </w: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宫颈病变</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N87</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宫颈锥切术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67.2x00/67.3202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96</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卵巢良性肿瘤/卵巢单纯性囊肿/输卵管积水/输卵管系膜囊肿</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D27.x00/N83.200x004/N70.103/N83.800x010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腹腔镜卵巢病损切除术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65.2501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97</w:t>
            </w:r>
          </w:p>
        </w:tc>
        <w:tc>
          <w:tcPr>
            <w:tcW w:w="12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骨科</w:t>
            </w: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腰椎间盘突出症</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M51.202</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内镜下腰椎间盘切除术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98</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椎间盘镜下后入路</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腰椎间盘切除术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80.5100x032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99</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椎间盘镜下前入</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腰椎间盘切除术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80.5100x033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100</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取除骨折内固定装置</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Z47.001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骨置入装置去除</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101</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骨肿物/四肢及脊柱骨恶性肿瘤/四肢及脊柱骨良性肿瘤/四肢及脊柱骨交界性肿瘤</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pacing w:val="-6"/>
                <w:sz w:val="21"/>
                <w:szCs w:val="21"/>
              </w:rPr>
              <w:t>M89.9/C40/C41.2/C41.3/C41.4/C41.8/C41.9/D16.0/D16.1/D16.2/D16.3/D16.6/D16.8/D48.000x006/D48.000x010/D48.000x018</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骨活组织检查</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102</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z w:val="21"/>
                <w:szCs w:val="21"/>
              </w:rPr>
              <w:t>腰椎间盘突出伴脊髓病/腰椎间盘突出伴神经根病/腰椎间盘突出伴坐骨神经痛/腰椎间盘突出</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M51.003+G99.2*/M51.100x001G99.2*/M51.100x003/M51.202</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内镜下腰椎髓核切除术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80.5111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103</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肱骨干骨折</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S42.300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肱骨骨折切开复位钢板内固定术/肱骨骨折切开复位螺钉内固定术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79.3100x005/79.3100x006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104</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尺骨鹰嘴骨折</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S52.000x011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尺骨骨折切开复位内固定术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79.32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105</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桡尺骨骨干骨折</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S52.400x001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桡尺骨骨折切开复位内固定术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79.32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106</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天性胸锁乳突肌性斜颈</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Q68.001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胸锁乳突肌切断术/</w:t>
            </w:r>
            <w:r>
              <w:rPr>
                <w:rFonts w:hint="eastAsia" w:ascii="Times New Roman" w:hAnsi="Times New Roman" w:eastAsia="方正仿宋_GBK" w:cs="仿宋_GB2312"/>
                <w:color w:val="000000"/>
                <w:spacing w:val="-6"/>
                <w:sz w:val="21"/>
                <w:szCs w:val="21"/>
              </w:rPr>
              <w:br w:type="textWrapping"/>
            </w:r>
            <w:r>
              <w:rPr>
                <w:rFonts w:hint="eastAsia" w:ascii="Times New Roman" w:hAnsi="Times New Roman" w:eastAsia="方正仿宋_GBK" w:cs="仿宋_GB2312"/>
                <w:color w:val="000000"/>
                <w:spacing w:val="-6"/>
                <w:sz w:val="21"/>
                <w:szCs w:val="21"/>
              </w:rPr>
              <w:t>胸锁乳突肌部分切断术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83.1903/</w:t>
            </w:r>
            <w:r>
              <w:rPr>
                <w:rFonts w:hint="eastAsia" w:ascii="Times New Roman" w:hAnsi="Times New Roman" w:eastAsia="方正仿宋_GBK" w:cs="仿宋_GB2312"/>
                <w:color w:val="000000"/>
                <w:spacing w:val="-6"/>
                <w:sz w:val="21"/>
                <w:szCs w:val="21"/>
              </w:rPr>
              <w:br w:type="textWrapping"/>
            </w:r>
            <w:r>
              <w:rPr>
                <w:rFonts w:hint="eastAsia" w:ascii="Times New Roman" w:hAnsi="Times New Roman" w:eastAsia="方正仿宋_GBK" w:cs="仿宋_GB2312"/>
                <w:color w:val="000000"/>
                <w:spacing w:val="-6"/>
                <w:sz w:val="21"/>
                <w:szCs w:val="21"/>
              </w:rPr>
              <w:t>83.1900x020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107</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腱鞘囊肿</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M67.400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z w:val="21"/>
                <w:szCs w:val="21"/>
              </w:rPr>
              <w:t>腱鞘囊肿切除术/手部腱鞘囊肿切除术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83.3101/82.2101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108</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髌骨骨折</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S82.000</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eastAsia"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髌骨骨折闭合复位空心钉</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内固定术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79.1900x005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109</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腘窝囊肿</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M71.200x001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腘窝囊肿切除术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83.3902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pPr>
              <w:keepNext w:val="0"/>
              <w:keepLines w:val="0"/>
              <w:pageBreakBefore w:val="0"/>
              <w:widowControl w:val="0"/>
              <w:tabs>
                <w:tab w:val="left" w:pos="274"/>
              </w:tabs>
              <w:kinsoku/>
              <w:wordWrap/>
              <w:overflowPunct/>
              <w:topLinePunct w:val="0"/>
              <w:autoSpaceDE/>
              <w:autoSpaceDN/>
              <w:bidi w:val="0"/>
              <w:adjustRightInd w:val="0"/>
              <w:snapToGrid w:val="0"/>
              <w:spacing w:line="260" w:lineRule="exact"/>
              <w:jc w:val="left"/>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110</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膝关节骨关节炎</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M17</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关节镜膝关节病损切除术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80.8602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111</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多指、趾畸形</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Q69</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多余指切除术/多余趾切除术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pacing w:val="-6"/>
                <w:sz w:val="21"/>
                <w:szCs w:val="21"/>
              </w:rPr>
            </w:pPr>
            <w:r>
              <w:rPr>
                <w:rFonts w:hint="eastAsia" w:ascii="Times New Roman" w:hAnsi="Times New Roman" w:eastAsia="方正仿宋_GBK" w:cs="仿宋_GB2312"/>
                <w:color w:val="000000"/>
                <w:spacing w:val="-6"/>
                <w:sz w:val="21"/>
                <w:szCs w:val="21"/>
              </w:rPr>
              <w:t>86.2601/86.2602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112</w:t>
            </w:r>
          </w:p>
        </w:tc>
        <w:tc>
          <w:tcPr>
            <w:tcW w:w="12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皮肤科</w:t>
            </w: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腋臭</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L75.000x001</w:t>
            </w:r>
          </w:p>
        </w:tc>
        <w:tc>
          <w:tcPr>
            <w:tcW w:w="394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腋嗅切除术</w:t>
            </w:r>
          </w:p>
        </w:tc>
        <w:tc>
          <w:tcPr>
            <w:tcW w:w="16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86.3x05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113</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瘢痕/增生性瘢痕（＞5cm）</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L90.5</w:t>
            </w:r>
          </w:p>
        </w:tc>
        <w:tc>
          <w:tcPr>
            <w:tcW w:w="3947"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瘢痕切除术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86.3x01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114</w:t>
            </w:r>
          </w:p>
        </w:tc>
        <w:tc>
          <w:tcPr>
            <w:tcW w:w="129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pacing w:val="-24"/>
                <w:sz w:val="21"/>
                <w:szCs w:val="21"/>
              </w:rPr>
            </w:pPr>
            <w:r>
              <w:rPr>
                <w:rFonts w:hint="eastAsia" w:ascii="Times New Roman" w:hAnsi="Times New Roman" w:eastAsia="方正仿宋_GBK" w:cs="仿宋_GB2312"/>
                <w:color w:val="000000"/>
                <w:spacing w:val="-6"/>
                <w:sz w:val="21"/>
                <w:szCs w:val="21"/>
              </w:rPr>
              <w:t>心血管内科</w:t>
            </w: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心绞痛</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I20</w:t>
            </w:r>
          </w:p>
        </w:tc>
        <w:tc>
          <w:tcPr>
            <w:tcW w:w="3947"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单根导管的冠状动脉造影术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88.5700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115</w:t>
            </w:r>
          </w:p>
        </w:tc>
        <w:tc>
          <w:tcPr>
            <w:tcW w:w="12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消化内科</w:t>
            </w: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结肠息肉</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K63.500</w:t>
            </w:r>
          </w:p>
        </w:tc>
        <w:tc>
          <w:tcPr>
            <w:tcW w:w="3947" w:type="dxa"/>
            <w:vMerge w:val="restar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纤维结肠镜下结肠息肉切除术</w:t>
            </w:r>
          </w:p>
        </w:tc>
        <w:tc>
          <w:tcPr>
            <w:tcW w:w="1661" w:type="dxa"/>
            <w:vMerge w:val="restar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45.4200x003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8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947"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1661"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116</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直肠息肉</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K62.100</w:t>
            </w:r>
          </w:p>
        </w:tc>
        <w:tc>
          <w:tcPr>
            <w:tcW w:w="3947"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内镜下直肠病损切除术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48.3508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117</w:t>
            </w:r>
          </w:p>
        </w:tc>
        <w:tc>
          <w:tcPr>
            <w:tcW w:w="129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儿科</w:t>
            </w:r>
          </w:p>
        </w:tc>
        <w:tc>
          <w:tcPr>
            <w:tcW w:w="384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慢性扁桃体炎</w:t>
            </w:r>
          </w:p>
        </w:tc>
        <w:tc>
          <w:tcPr>
            <w:tcW w:w="2186"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J35.000</w:t>
            </w:r>
          </w:p>
        </w:tc>
        <w:tc>
          <w:tcPr>
            <w:tcW w:w="3947"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扁桃体切除术</w:t>
            </w:r>
          </w:p>
        </w:tc>
        <w:tc>
          <w:tcPr>
            <w:tcW w:w="1661"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28.2x00x002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118</w:t>
            </w:r>
          </w:p>
        </w:tc>
        <w:tc>
          <w:tcPr>
            <w:tcW w:w="12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p>
        </w:tc>
        <w:tc>
          <w:tcPr>
            <w:tcW w:w="38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先天性脐窦</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Q43.002</w:t>
            </w:r>
          </w:p>
        </w:tc>
        <w:tc>
          <w:tcPr>
            <w:tcW w:w="3947" w:type="dxa"/>
            <w:vMerge w:val="restar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脐病损切除术</w:t>
            </w:r>
          </w:p>
        </w:tc>
        <w:tc>
          <w:tcPr>
            <w:tcW w:w="1661" w:type="dxa"/>
            <w:vMerge w:val="restar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54.3x00x027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119</w:t>
            </w:r>
          </w:p>
        </w:tc>
        <w:tc>
          <w:tcPr>
            <w:tcW w:w="1297"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1661"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83"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r>
              <w:rPr>
                <w:rFonts w:hint="eastAsia" w:ascii="Times New Roman" w:hAnsi="Times New Roman" w:eastAsia="方正仿宋_GBK" w:cs="仿宋_GB2312"/>
                <w:color w:val="000000"/>
                <w:sz w:val="21"/>
                <w:szCs w:val="21"/>
              </w:rPr>
              <w:t>120</w:t>
            </w:r>
          </w:p>
        </w:tc>
        <w:tc>
          <w:tcPr>
            <w:tcW w:w="1297"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842"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2186"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3947"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c>
          <w:tcPr>
            <w:tcW w:w="1661"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outlineLvl w:val="9"/>
              <w:rPr>
                <w:rFonts w:ascii="Times New Roman" w:hAnsi="Times New Roman" w:eastAsia="方正仿宋_GBK" w:cs="仿宋_GB2312"/>
                <w:color w:val="000000"/>
                <w:sz w:val="21"/>
                <w:szCs w:val="21"/>
              </w:rPr>
            </w:pPr>
          </w:p>
        </w:tc>
      </w:tr>
    </w:tbl>
    <w:p>
      <w:pPr>
        <w:spacing w:line="600" w:lineRule="exact"/>
        <w:rPr>
          <w:vanish/>
        </w:rPr>
      </w:pPr>
    </w:p>
    <w:sectPr>
      <w:headerReference r:id="rId4" w:type="default"/>
      <w:footerReference r:id="rId5" w:type="default"/>
      <w:pgSz w:w="16838" w:h="11906" w:orient="landscape"/>
      <w:pgMar w:top="1587" w:right="2098" w:bottom="1474" w:left="1984"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1037"/>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037"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vOISfRAAAAAwEAAA8AAAAAAAAAAQAgAAAA&#10;IgAAAGRycy9kb3ducmV2LnhtbFBLAQIUABQAAAAIAIdO4kBj56G3EgIAABMEAAAOAAAAAAAAAAEA&#10;IAAAACABAABkcnMvZTJvRG9jLnhtbFBLBQYAAAAABgAGAFkBAACkBQAAAAA=&#10;">
              <v:fill on="f" focussize="0,0"/>
              <v:stroke on="f"/>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3680"/>
              <wp:effectExtent l="0" t="0" r="0" b="0"/>
              <wp:wrapNone/>
              <wp:docPr id="1"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233680"/>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8.4pt;width:9.05pt;mso-position-horizontal:outside;mso-position-horizontal-relative:margin;mso-wrap-style:none;z-index:251659264;mso-width-relative:page;mso-height-relative:page;" filled="f" stroked="f" coordsize="21600,21600" o:gfxdata="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GbRgR0AAAAAMBAAAPAAAAAAAAAAEAIAAAACIA&#10;AABkcnMvZG93bnJldi54bWxQSwECFAAUAAAACACHTuJAL0LqQBECAAATBAAADgAAAAAAAAABACAA&#10;AAAfAQAAZHJzL2Uyb0RvYy54bWxQSwUGAAAAAAYABgBZAQAAogU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1738"/>
        <w:tab w:val="clear" w:pos="4153"/>
      </w:tabs>
      <w:jc w:val="left"/>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HorizontalSpacing w:val="320"/>
  <w:drawingGridVerticalSpacing w:val="221"/>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TdjMjhkZWFkYTljNmRhMmNmMGRkNmVmYTIxZDcifQ=="/>
  </w:docVars>
  <w:rsids>
    <w:rsidRoot w:val="007D2059"/>
    <w:rsid w:val="000021CC"/>
    <w:rsid w:val="00003C03"/>
    <w:rsid w:val="00013AA2"/>
    <w:rsid w:val="000151A0"/>
    <w:rsid w:val="00033299"/>
    <w:rsid w:val="0003438E"/>
    <w:rsid w:val="00046B11"/>
    <w:rsid w:val="0006362E"/>
    <w:rsid w:val="00082E4C"/>
    <w:rsid w:val="00084A46"/>
    <w:rsid w:val="00094947"/>
    <w:rsid w:val="000A1BAB"/>
    <w:rsid w:val="000A4018"/>
    <w:rsid w:val="000B5339"/>
    <w:rsid w:val="000C4E01"/>
    <w:rsid w:val="000C736E"/>
    <w:rsid w:val="000D381A"/>
    <w:rsid w:val="000E3441"/>
    <w:rsid w:val="000E4E46"/>
    <w:rsid w:val="000E5052"/>
    <w:rsid w:val="000F695F"/>
    <w:rsid w:val="0010069C"/>
    <w:rsid w:val="00101610"/>
    <w:rsid w:val="0011032B"/>
    <w:rsid w:val="00116AD0"/>
    <w:rsid w:val="00121DA4"/>
    <w:rsid w:val="00134C2F"/>
    <w:rsid w:val="001415B9"/>
    <w:rsid w:val="00156414"/>
    <w:rsid w:val="00160063"/>
    <w:rsid w:val="001624B8"/>
    <w:rsid w:val="00162995"/>
    <w:rsid w:val="001671AE"/>
    <w:rsid w:val="001711AE"/>
    <w:rsid w:val="00174D58"/>
    <w:rsid w:val="001803B1"/>
    <w:rsid w:val="00193F7E"/>
    <w:rsid w:val="00194730"/>
    <w:rsid w:val="001A7746"/>
    <w:rsid w:val="001A7CFE"/>
    <w:rsid w:val="001A7F93"/>
    <w:rsid w:val="001B3C93"/>
    <w:rsid w:val="001D083E"/>
    <w:rsid w:val="001E39DE"/>
    <w:rsid w:val="001E7BD1"/>
    <w:rsid w:val="001F06A7"/>
    <w:rsid w:val="001F0FFB"/>
    <w:rsid w:val="001F5572"/>
    <w:rsid w:val="002070D4"/>
    <w:rsid w:val="002071FE"/>
    <w:rsid w:val="00210821"/>
    <w:rsid w:val="0022067F"/>
    <w:rsid w:val="0022069F"/>
    <w:rsid w:val="00222F4E"/>
    <w:rsid w:val="00232287"/>
    <w:rsid w:val="0024090C"/>
    <w:rsid w:val="00246438"/>
    <w:rsid w:val="002606F5"/>
    <w:rsid w:val="00260F9F"/>
    <w:rsid w:val="002A0340"/>
    <w:rsid w:val="002A58DE"/>
    <w:rsid w:val="002A7724"/>
    <w:rsid w:val="002A77D4"/>
    <w:rsid w:val="002B5A9A"/>
    <w:rsid w:val="002B76F6"/>
    <w:rsid w:val="002C5B13"/>
    <w:rsid w:val="002D2A95"/>
    <w:rsid w:val="002D701B"/>
    <w:rsid w:val="002E1AD2"/>
    <w:rsid w:val="002E24A1"/>
    <w:rsid w:val="002F2BCF"/>
    <w:rsid w:val="00306F67"/>
    <w:rsid w:val="00317E57"/>
    <w:rsid w:val="00324FF4"/>
    <w:rsid w:val="0033344A"/>
    <w:rsid w:val="0034452E"/>
    <w:rsid w:val="00363154"/>
    <w:rsid w:val="00364D19"/>
    <w:rsid w:val="003751AE"/>
    <w:rsid w:val="00386D73"/>
    <w:rsid w:val="003A5E95"/>
    <w:rsid w:val="003B50BF"/>
    <w:rsid w:val="003C5061"/>
    <w:rsid w:val="003E22B9"/>
    <w:rsid w:val="003F2763"/>
    <w:rsid w:val="00401B75"/>
    <w:rsid w:val="00402AA6"/>
    <w:rsid w:val="00424448"/>
    <w:rsid w:val="00426C7B"/>
    <w:rsid w:val="00426CC8"/>
    <w:rsid w:val="004276DE"/>
    <w:rsid w:val="00430D4C"/>
    <w:rsid w:val="00431DEE"/>
    <w:rsid w:val="00432468"/>
    <w:rsid w:val="00435036"/>
    <w:rsid w:val="004410BD"/>
    <w:rsid w:val="0044196B"/>
    <w:rsid w:val="004543F1"/>
    <w:rsid w:val="00473C53"/>
    <w:rsid w:val="00473D40"/>
    <w:rsid w:val="00480A50"/>
    <w:rsid w:val="00491253"/>
    <w:rsid w:val="004A175D"/>
    <w:rsid w:val="004B4220"/>
    <w:rsid w:val="004C1911"/>
    <w:rsid w:val="004D199C"/>
    <w:rsid w:val="004D418D"/>
    <w:rsid w:val="004D5FAC"/>
    <w:rsid w:val="004E092E"/>
    <w:rsid w:val="004E4E81"/>
    <w:rsid w:val="004E703F"/>
    <w:rsid w:val="005023A4"/>
    <w:rsid w:val="00510D0D"/>
    <w:rsid w:val="00513FF4"/>
    <w:rsid w:val="00535293"/>
    <w:rsid w:val="00556781"/>
    <w:rsid w:val="0056025F"/>
    <w:rsid w:val="00562F92"/>
    <w:rsid w:val="0058597A"/>
    <w:rsid w:val="0059785C"/>
    <w:rsid w:val="005A03F7"/>
    <w:rsid w:val="005A1D0E"/>
    <w:rsid w:val="005A61B2"/>
    <w:rsid w:val="005B7E1D"/>
    <w:rsid w:val="005C4DE5"/>
    <w:rsid w:val="005C68BE"/>
    <w:rsid w:val="005C771B"/>
    <w:rsid w:val="005C7CF3"/>
    <w:rsid w:val="005D2EA6"/>
    <w:rsid w:val="005D48EF"/>
    <w:rsid w:val="005E77AD"/>
    <w:rsid w:val="005F6952"/>
    <w:rsid w:val="00606FBB"/>
    <w:rsid w:val="006120FB"/>
    <w:rsid w:val="00627600"/>
    <w:rsid w:val="00652BFE"/>
    <w:rsid w:val="00657AD5"/>
    <w:rsid w:val="006604A3"/>
    <w:rsid w:val="006643F1"/>
    <w:rsid w:val="0066479A"/>
    <w:rsid w:val="0067058D"/>
    <w:rsid w:val="00677D78"/>
    <w:rsid w:val="006862FB"/>
    <w:rsid w:val="006A3079"/>
    <w:rsid w:val="006A5A51"/>
    <w:rsid w:val="006A5B81"/>
    <w:rsid w:val="006B1E25"/>
    <w:rsid w:val="006B4314"/>
    <w:rsid w:val="006B5C91"/>
    <w:rsid w:val="006C3064"/>
    <w:rsid w:val="006E206D"/>
    <w:rsid w:val="006E41E3"/>
    <w:rsid w:val="006E6C55"/>
    <w:rsid w:val="007225A1"/>
    <w:rsid w:val="00731C2F"/>
    <w:rsid w:val="0073488C"/>
    <w:rsid w:val="0074234B"/>
    <w:rsid w:val="00750AF8"/>
    <w:rsid w:val="00752371"/>
    <w:rsid w:val="0075491C"/>
    <w:rsid w:val="0076050D"/>
    <w:rsid w:val="007705D9"/>
    <w:rsid w:val="007735D8"/>
    <w:rsid w:val="007811A8"/>
    <w:rsid w:val="00786CE2"/>
    <w:rsid w:val="007A7E06"/>
    <w:rsid w:val="007C4CE2"/>
    <w:rsid w:val="007D2059"/>
    <w:rsid w:val="007D40AE"/>
    <w:rsid w:val="007E36B2"/>
    <w:rsid w:val="007E71AE"/>
    <w:rsid w:val="008040DC"/>
    <w:rsid w:val="0082135B"/>
    <w:rsid w:val="0082359D"/>
    <w:rsid w:val="008315C9"/>
    <w:rsid w:val="00833943"/>
    <w:rsid w:val="00835CBD"/>
    <w:rsid w:val="008539C7"/>
    <w:rsid w:val="00871D6E"/>
    <w:rsid w:val="00877A16"/>
    <w:rsid w:val="008810C9"/>
    <w:rsid w:val="008854F8"/>
    <w:rsid w:val="00891D18"/>
    <w:rsid w:val="00892839"/>
    <w:rsid w:val="00896438"/>
    <w:rsid w:val="008A47EE"/>
    <w:rsid w:val="008B60A2"/>
    <w:rsid w:val="008C7349"/>
    <w:rsid w:val="008F359E"/>
    <w:rsid w:val="00904AFE"/>
    <w:rsid w:val="00905D46"/>
    <w:rsid w:val="0091012C"/>
    <w:rsid w:val="00922E66"/>
    <w:rsid w:val="00926266"/>
    <w:rsid w:val="00952E0A"/>
    <w:rsid w:val="0095387D"/>
    <w:rsid w:val="00953C3A"/>
    <w:rsid w:val="00961EC9"/>
    <w:rsid w:val="00970C07"/>
    <w:rsid w:val="00971B1E"/>
    <w:rsid w:val="00977E7F"/>
    <w:rsid w:val="0098401D"/>
    <w:rsid w:val="00994629"/>
    <w:rsid w:val="009949E9"/>
    <w:rsid w:val="009A160B"/>
    <w:rsid w:val="009A5ACA"/>
    <w:rsid w:val="009A60A1"/>
    <w:rsid w:val="009C01D0"/>
    <w:rsid w:val="009C291A"/>
    <w:rsid w:val="009D0FEA"/>
    <w:rsid w:val="009F60A5"/>
    <w:rsid w:val="00A00BB0"/>
    <w:rsid w:val="00A07C08"/>
    <w:rsid w:val="00A30B59"/>
    <w:rsid w:val="00A44538"/>
    <w:rsid w:val="00A45045"/>
    <w:rsid w:val="00A5276F"/>
    <w:rsid w:val="00A75095"/>
    <w:rsid w:val="00A804F4"/>
    <w:rsid w:val="00A82FB4"/>
    <w:rsid w:val="00AA2570"/>
    <w:rsid w:val="00AA5ECA"/>
    <w:rsid w:val="00AC7B76"/>
    <w:rsid w:val="00AE25CC"/>
    <w:rsid w:val="00AE35C7"/>
    <w:rsid w:val="00AE49F5"/>
    <w:rsid w:val="00AF3A47"/>
    <w:rsid w:val="00B07EA7"/>
    <w:rsid w:val="00B21414"/>
    <w:rsid w:val="00B438CD"/>
    <w:rsid w:val="00B707A5"/>
    <w:rsid w:val="00B76F88"/>
    <w:rsid w:val="00B8627A"/>
    <w:rsid w:val="00B86CD3"/>
    <w:rsid w:val="00BA5E11"/>
    <w:rsid w:val="00BC3D67"/>
    <w:rsid w:val="00BD07A2"/>
    <w:rsid w:val="00BE0497"/>
    <w:rsid w:val="00BE09CF"/>
    <w:rsid w:val="00BF231C"/>
    <w:rsid w:val="00BF2877"/>
    <w:rsid w:val="00BF7ED6"/>
    <w:rsid w:val="00C13E55"/>
    <w:rsid w:val="00C20144"/>
    <w:rsid w:val="00C243A5"/>
    <w:rsid w:val="00C2451B"/>
    <w:rsid w:val="00C30F04"/>
    <w:rsid w:val="00C30F9D"/>
    <w:rsid w:val="00C33521"/>
    <w:rsid w:val="00C51253"/>
    <w:rsid w:val="00C57DBB"/>
    <w:rsid w:val="00C63D26"/>
    <w:rsid w:val="00C71800"/>
    <w:rsid w:val="00C82098"/>
    <w:rsid w:val="00CA148B"/>
    <w:rsid w:val="00CA3324"/>
    <w:rsid w:val="00CA459D"/>
    <w:rsid w:val="00CA6855"/>
    <w:rsid w:val="00CC1CF4"/>
    <w:rsid w:val="00CC7B99"/>
    <w:rsid w:val="00CE3CC6"/>
    <w:rsid w:val="00CE7D93"/>
    <w:rsid w:val="00CF4412"/>
    <w:rsid w:val="00D157BB"/>
    <w:rsid w:val="00D51E7A"/>
    <w:rsid w:val="00D70947"/>
    <w:rsid w:val="00D946BF"/>
    <w:rsid w:val="00DB171F"/>
    <w:rsid w:val="00DB7DDD"/>
    <w:rsid w:val="00DC2A01"/>
    <w:rsid w:val="00DD088B"/>
    <w:rsid w:val="00DE5520"/>
    <w:rsid w:val="00DE6F7B"/>
    <w:rsid w:val="00DE785C"/>
    <w:rsid w:val="00E15123"/>
    <w:rsid w:val="00E16DDB"/>
    <w:rsid w:val="00E316AA"/>
    <w:rsid w:val="00E34939"/>
    <w:rsid w:val="00E4039A"/>
    <w:rsid w:val="00E51B1F"/>
    <w:rsid w:val="00E53B10"/>
    <w:rsid w:val="00E635D4"/>
    <w:rsid w:val="00E66391"/>
    <w:rsid w:val="00E70DCE"/>
    <w:rsid w:val="00E76A3D"/>
    <w:rsid w:val="00E76B6D"/>
    <w:rsid w:val="00E837AC"/>
    <w:rsid w:val="00EA0EDA"/>
    <w:rsid w:val="00EC5F4E"/>
    <w:rsid w:val="00ED7EC6"/>
    <w:rsid w:val="00EE0DB2"/>
    <w:rsid w:val="00EF6178"/>
    <w:rsid w:val="00F01EC9"/>
    <w:rsid w:val="00F05682"/>
    <w:rsid w:val="00F0587C"/>
    <w:rsid w:val="00F108B1"/>
    <w:rsid w:val="00F131B4"/>
    <w:rsid w:val="00F152FF"/>
    <w:rsid w:val="00F37803"/>
    <w:rsid w:val="00F4296D"/>
    <w:rsid w:val="00F55D89"/>
    <w:rsid w:val="00F56B3C"/>
    <w:rsid w:val="00F72562"/>
    <w:rsid w:val="00F801BA"/>
    <w:rsid w:val="00F828AC"/>
    <w:rsid w:val="00F96D69"/>
    <w:rsid w:val="00FA7F10"/>
    <w:rsid w:val="00FB234D"/>
    <w:rsid w:val="00FB6E8B"/>
    <w:rsid w:val="00FC3F77"/>
    <w:rsid w:val="00FD4C98"/>
    <w:rsid w:val="00FD6D6A"/>
    <w:rsid w:val="00FE0140"/>
    <w:rsid w:val="012120EA"/>
    <w:rsid w:val="01AB0EEA"/>
    <w:rsid w:val="021155E1"/>
    <w:rsid w:val="02381CF9"/>
    <w:rsid w:val="02441991"/>
    <w:rsid w:val="025517B2"/>
    <w:rsid w:val="025E71FE"/>
    <w:rsid w:val="03E94935"/>
    <w:rsid w:val="054B1B3F"/>
    <w:rsid w:val="05950F8D"/>
    <w:rsid w:val="070048D5"/>
    <w:rsid w:val="076957C2"/>
    <w:rsid w:val="07EC6E0C"/>
    <w:rsid w:val="0914781F"/>
    <w:rsid w:val="0918084D"/>
    <w:rsid w:val="09885F51"/>
    <w:rsid w:val="09B43962"/>
    <w:rsid w:val="0BB13BB7"/>
    <w:rsid w:val="0C54147B"/>
    <w:rsid w:val="0CCB7D8E"/>
    <w:rsid w:val="0D8B1353"/>
    <w:rsid w:val="1079076C"/>
    <w:rsid w:val="11531582"/>
    <w:rsid w:val="11E8226D"/>
    <w:rsid w:val="123A777F"/>
    <w:rsid w:val="132574D5"/>
    <w:rsid w:val="1357521D"/>
    <w:rsid w:val="14337333"/>
    <w:rsid w:val="144A63DE"/>
    <w:rsid w:val="16C246E7"/>
    <w:rsid w:val="174458E4"/>
    <w:rsid w:val="17C024B6"/>
    <w:rsid w:val="19296EF8"/>
    <w:rsid w:val="1968378C"/>
    <w:rsid w:val="1A5A741F"/>
    <w:rsid w:val="1AC44166"/>
    <w:rsid w:val="1ADC51BC"/>
    <w:rsid w:val="1B2F2EA0"/>
    <w:rsid w:val="1B633972"/>
    <w:rsid w:val="1D14393E"/>
    <w:rsid w:val="1DBD3183"/>
    <w:rsid w:val="1DC13E8E"/>
    <w:rsid w:val="1DF4732F"/>
    <w:rsid w:val="1E2F6BFE"/>
    <w:rsid w:val="1EB406AA"/>
    <w:rsid w:val="1EFC6426"/>
    <w:rsid w:val="20224B82"/>
    <w:rsid w:val="208507EF"/>
    <w:rsid w:val="2095338A"/>
    <w:rsid w:val="2105730F"/>
    <w:rsid w:val="221727AE"/>
    <w:rsid w:val="236013BA"/>
    <w:rsid w:val="23FD601C"/>
    <w:rsid w:val="24002D3E"/>
    <w:rsid w:val="24D07B88"/>
    <w:rsid w:val="264D363D"/>
    <w:rsid w:val="26FD574A"/>
    <w:rsid w:val="283E2656"/>
    <w:rsid w:val="28F44D1D"/>
    <w:rsid w:val="29B31962"/>
    <w:rsid w:val="2ACA4D3C"/>
    <w:rsid w:val="2B853FFF"/>
    <w:rsid w:val="2B854C48"/>
    <w:rsid w:val="2C7A0633"/>
    <w:rsid w:val="2CAB7D6F"/>
    <w:rsid w:val="2CD312C2"/>
    <w:rsid w:val="2D994A76"/>
    <w:rsid w:val="2DAF1830"/>
    <w:rsid w:val="2DF55E02"/>
    <w:rsid w:val="2F445C6B"/>
    <w:rsid w:val="2F721FF0"/>
    <w:rsid w:val="2FE63A04"/>
    <w:rsid w:val="31020ECE"/>
    <w:rsid w:val="31F02ED7"/>
    <w:rsid w:val="32181435"/>
    <w:rsid w:val="32D7682A"/>
    <w:rsid w:val="330B5CD8"/>
    <w:rsid w:val="33335FBA"/>
    <w:rsid w:val="333804B8"/>
    <w:rsid w:val="334F0E91"/>
    <w:rsid w:val="34110AC2"/>
    <w:rsid w:val="34F950A0"/>
    <w:rsid w:val="35127F1A"/>
    <w:rsid w:val="36CD1A46"/>
    <w:rsid w:val="39885C97"/>
    <w:rsid w:val="3A2C643A"/>
    <w:rsid w:val="3B2D0AC8"/>
    <w:rsid w:val="3BFF780D"/>
    <w:rsid w:val="3CD16A8F"/>
    <w:rsid w:val="3DED3659"/>
    <w:rsid w:val="3E2D13C0"/>
    <w:rsid w:val="3ED05151"/>
    <w:rsid w:val="40450D0B"/>
    <w:rsid w:val="40664098"/>
    <w:rsid w:val="4118065B"/>
    <w:rsid w:val="41BD7918"/>
    <w:rsid w:val="41C457D9"/>
    <w:rsid w:val="424E1501"/>
    <w:rsid w:val="42F651DF"/>
    <w:rsid w:val="435F45BF"/>
    <w:rsid w:val="439B0296"/>
    <w:rsid w:val="442F1979"/>
    <w:rsid w:val="44A57506"/>
    <w:rsid w:val="45706BA0"/>
    <w:rsid w:val="462209E8"/>
    <w:rsid w:val="466A111A"/>
    <w:rsid w:val="4706389A"/>
    <w:rsid w:val="486024E4"/>
    <w:rsid w:val="49CE4388"/>
    <w:rsid w:val="4A8973CF"/>
    <w:rsid w:val="4AE96240"/>
    <w:rsid w:val="4AFC7E5B"/>
    <w:rsid w:val="4BD434FE"/>
    <w:rsid w:val="4C4706A2"/>
    <w:rsid w:val="4C843B13"/>
    <w:rsid w:val="4D26576E"/>
    <w:rsid w:val="4FB44B8E"/>
    <w:rsid w:val="50100E41"/>
    <w:rsid w:val="504C46C9"/>
    <w:rsid w:val="514D6AF1"/>
    <w:rsid w:val="51BF1041"/>
    <w:rsid w:val="51D448DF"/>
    <w:rsid w:val="52CA27DA"/>
    <w:rsid w:val="52FC793E"/>
    <w:rsid w:val="534E478B"/>
    <w:rsid w:val="53EF20D7"/>
    <w:rsid w:val="545A5A48"/>
    <w:rsid w:val="54A7336D"/>
    <w:rsid w:val="550B4BAD"/>
    <w:rsid w:val="56F4369F"/>
    <w:rsid w:val="575B66FE"/>
    <w:rsid w:val="57855D92"/>
    <w:rsid w:val="579B5BB6"/>
    <w:rsid w:val="5AA50FB7"/>
    <w:rsid w:val="5ABA2045"/>
    <w:rsid w:val="5B463F7E"/>
    <w:rsid w:val="5C3418D5"/>
    <w:rsid w:val="5CAB131B"/>
    <w:rsid w:val="5D100F01"/>
    <w:rsid w:val="5F10323B"/>
    <w:rsid w:val="61A637F2"/>
    <w:rsid w:val="61D811B2"/>
    <w:rsid w:val="62D83631"/>
    <w:rsid w:val="62F07BBD"/>
    <w:rsid w:val="63187BEE"/>
    <w:rsid w:val="63207A81"/>
    <w:rsid w:val="63C94BAA"/>
    <w:rsid w:val="64461E53"/>
    <w:rsid w:val="644D3389"/>
    <w:rsid w:val="646255DF"/>
    <w:rsid w:val="64DC200C"/>
    <w:rsid w:val="659D1143"/>
    <w:rsid w:val="65B41EFD"/>
    <w:rsid w:val="65F85279"/>
    <w:rsid w:val="662B4C75"/>
    <w:rsid w:val="6685660E"/>
    <w:rsid w:val="67887E6E"/>
    <w:rsid w:val="6813133D"/>
    <w:rsid w:val="68C717DE"/>
    <w:rsid w:val="697A06DC"/>
    <w:rsid w:val="6A956AC6"/>
    <w:rsid w:val="6CB5381A"/>
    <w:rsid w:val="6D2140D5"/>
    <w:rsid w:val="6DDD337E"/>
    <w:rsid w:val="6E1E6AFD"/>
    <w:rsid w:val="6E93381A"/>
    <w:rsid w:val="6FC65ADB"/>
    <w:rsid w:val="6FD138EF"/>
    <w:rsid w:val="71315E0C"/>
    <w:rsid w:val="7139185E"/>
    <w:rsid w:val="727F6D42"/>
    <w:rsid w:val="72B90ED5"/>
    <w:rsid w:val="72E86363"/>
    <w:rsid w:val="73B6418E"/>
    <w:rsid w:val="73B715EA"/>
    <w:rsid w:val="73FD347F"/>
    <w:rsid w:val="74013D68"/>
    <w:rsid w:val="741E0C47"/>
    <w:rsid w:val="754176A5"/>
    <w:rsid w:val="75C44DCE"/>
    <w:rsid w:val="7806177E"/>
    <w:rsid w:val="780D4995"/>
    <w:rsid w:val="78B16511"/>
    <w:rsid w:val="78DE2C63"/>
    <w:rsid w:val="79596BC4"/>
    <w:rsid w:val="79DA08FC"/>
    <w:rsid w:val="79FA3B7B"/>
    <w:rsid w:val="7AA358B2"/>
    <w:rsid w:val="7AB53E5F"/>
    <w:rsid w:val="7BF950F8"/>
    <w:rsid w:val="7D351262"/>
    <w:rsid w:val="7E30247C"/>
    <w:rsid w:val="7F1B427F"/>
    <w:rsid w:val="7F307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qFormat/>
    <w:uiPriority w:val="0"/>
    <w:pPr>
      <w:jc w:val="center"/>
    </w:pPr>
    <w:rPr>
      <w:b/>
      <w:color w:val="FF0000"/>
      <w:sz w:val="44"/>
    </w:rPr>
  </w:style>
  <w:style w:type="paragraph" w:styleId="4">
    <w:name w:val="Date"/>
    <w:basedOn w:val="1"/>
    <w:next w:val="1"/>
    <w:link w:val="17"/>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0"/>
    <w:pPr>
      <w:spacing w:before="240" w:after="60" w:line="312" w:lineRule="auto"/>
      <w:jc w:val="center"/>
      <w:outlineLvl w:val="1"/>
    </w:pPr>
    <w:rPr>
      <w:rFonts w:ascii="Cambria" w:hAnsi="Cambria" w:eastAsia="宋体"/>
      <w:b/>
      <w:bCs/>
      <w:kern w:val="28"/>
    </w:rPr>
  </w:style>
  <w:style w:type="paragraph" w:styleId="9">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0">
    <w:name w:val="Normal (Web)"/>
    <w:basedOn w:val="1"/>
    <w:qFormat/>
    <w:uiPriority w:val="0"/>
    <w:pPr>
      <w:widowControl/>
      <w:spacing w:before="100" w:beforeAutospacing="1" w:after="100" w:afterAutospacing="1"/>
      <w:jc w:val="left"/>
    </w:pPr>
    <w:rPr>
      <w:rFonts w:hint="eastAsia" w:ascii="宋体" w:hAnsi="宋体" w:eastAsia="宋体"/>
      <w:sz w:val="24"/>
    </w:rPr>
  </w:style>
  <w:style w:type="paragraph" w:styleId="11">
    <w:name w:val="Title"/>
    <w:basedOn w:val="1"/>
    <w:next w:val="1"/>
    <w:qFormat/>
    <w:uiPriority w:val="0"/>
    <w:pPr>
      <w:spacing w:before="240" w:after="60"/>
      <w:jc w:val="center"/>
      <w:outlineLvl w:val="0"/>
    </w:pPr>
    <w:rPr>
      <w:rFonts w:ascii="等线 Light" w:hAnsi="等线 Light" w:eastAsia="等线 Light"/>
      <w:b/>
      <w:bCs/>
      <w:kern w:val="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character" w:customStyle="1" w:styleId="17">
    <w:name w:val="日期 Char"/>
    <w:link w:val="4"/>
    <w:qFormat/>
    <w:uiPriority w:val="0"/>
    <w:rPr>
      <w:rFonts w:eastAsia="仿宋_GB2312"/>
      <w:kern w:val="2"/>
      <w:sz w:val="32"/>
      <w:szCs w:val="32"/>
    </w:rPr>
  </w:style>
  <w:style w:type="character" w:customStyle="1" w:styleId="18">
    <w:name w:val="font11"/>
    <w:qFormat/>
    <w:uiPriority w:val="0"/>
    <w:rPr>
      <w:rFonts w:hint="eastAsia" w:ascii="宋体" w:hAnsi="宋体" w:eastAsia="宋体" w:cs="宋体"/>
      <w:color w:val="000000"/>
      <w:sz w:val="22"/>
      <w:szCs w:val="22"/>
      <w:u w:val="none"/>
    </w:rPr>
  </w:style>
  <w:style w:type="character" w:customStyle="1" w:styleId="19">
    <w:name w:val="副标题 Char"/>
    <w:link w:val="8"/>
    <w:qFormat/>
    <w:uiPriority w:val="0"/>
    <w:rPr>
      <w:rFonts w:ascii="Cambria" w:hAnsi="Cambria" w:cs="Times New Roman"/>
      <w:b/>
      <w:bCs/>
      <w:kern w:val="28"/>
      <w:sz w:val="32"/>
      <w:szCs w:val="32"/>
    </w:rPr>
  </w:style>
  <w:style w:type="character" w:customStyle="1" w:styleId="20">
    <w:name w:val="HTML 预设格式 Char"/>
    <w:link w:val="9"/>
    <w:qFormat/>
    <w:uiPriority w:val="99"/>
    <w:rPr>
      <w:rFonts w:ascii="宋体" w:hAnsi="宋体" w:cs="宋体"/>
      <w:sz w:val="24"/>
      <w:szCs w:val="24"/>
    </w:rPr>
  </w:style>
  <w:style w:type="character" w:customStyle="1" w:styleId="21">
    <w:name w:val="页脚 Char"/>
    <w:link w:val="6"/>
    <w:qFormat/>
    <w:uiPriority w:val="99"/>
    <w:rPr>
      <w:rFonts w:eastAsia="仿宋_GB2312"/>
      <w:kern w:val="2"/>
      <w:sz w:val="18"/>
      <w:szCs w:val="18"/>
      <w:lang w:val="en-US" w:eastAsia="zh-CN" w:bidi="ar-SA"/>
    </w:rPr>
  </w:style>
  <w:style w:type="character" w:customStyle="1" w:styleId="22">
    <w:name w:val="font21"/>
    <w:qFormat/>
    <w:uiPriority w:val="0"/>
    <w:rPr>
      <w:rFonts w:ascii="方正仿宋_GBK" w:hAnsi="方正仿宋_GBK" w:eastAsia="方正仿宋_GBK" w:cs="方正仿宋_GBK"/>
      <w:color w:val="000000"/>
      <w:sz w:val="22"/>
      <w:szCs w:val="22"/>
      <w:u w:val="none"/>
    </w:rPr>
  </w:style>
  <w:style w:type="character" w:customStyle="1" w:styleId="23">
    <w:name w:val="页眉 Char"/>
    <w:link w:val="7"/>
    <w:qFormat/>
    <w:uiPriority w:val="99"/>
    <w:rPr>
      <w:rFonts w:eastAsia="仿宋_GB2312"/>
      <w:kern w:val="2"/>
      <w:sz w:val="18"/>
      <w:szCs w:val="18"/>
    </w:rPr>
  </w:style>
  <w:style w:type="character" w:customStyle="1" w:styleId="24">
    <w:name w:val="font31"/>
    <w:qFormat/>
    <w:uiPriority w:val="0"/>
    <w:rPr>
      <w:rFonts w:hint="default" w:ascii="Times New Roman" w:hAnsi="Times New Roman" w:cs="Times New Roman"/>
      <w:color w:val="000000"/>
      <w:sz w:val="22"/>
      <w:szCs w:val="22"/>
      <w:u w:val="none"/>
    </w:rPr>
  </w:style>
  <w:style w:type="character" w:customStyle="1" w:styleId="25">
    <w:name w:val="Char Char1"/>
    <w:qFormat/>
    <w:uiPriority w:val="0"/>
    <w:rPr>
      <w:rFonts w:eastAsia="仿宋_GB2312"/>
      <w:kern w:val="2"/>
      <w:sz w:val="18"/>
      <w:lang w:val="en-US" w:eastAsia="zh-CN" w:bidi="ar-SA"/>
    </w:rPr>
  </w:style>
  <w:style w:type="paragraph" w:customStyle="1" w:styleId="26">
    <w:name w:val="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7">
    <w:name w:val="默认段落字体 Para Char Char Char Char Char Char Char Char Char Char"/>
    <w:basedOn w:val="1"/>
    <w:qFormat/>
    <w:uiPriority w:val="0"/>
    <w:rPr>
      <w:rFonts w:ascii="Arial" w:hAnsi="Arial" w:eastAsia="宋体" w:cs="Arial"/>
      <w:sz w:val="20"/>
      <w:szCs w:val="20"/>
    </w:rPr>
  </w:style>
  <w:style w:type="paragraph" w:customStyle="1" w:styleId="28">
    <w:name w:val="列出段落2"/>
    <w:basedOn w:val="1"/>
    <w:qFormat/>
    <w:uiPriority w:val="0"/>
    <w:pPr>
      <w:ind w:firstLine="420" w:firstLineChars="200"/>
    </w:pPr>
    <w:rPr>
      <w:rFonts w:ascii="Calibri" w:hAnsi="Calibri" w:eastAsia="宋体"/>
      <w:sz w:val="21"/>
      <w:szCs w:val="22"/>
    </w:rPr>
  </w:style>
  <w:style w:type="paragraph" w:customStyle="1" w:styleId="29">
    <w:name w:val="Char Char Char Char Char Char Char Char Char Char Char Char Char Char Char Char Char Char Char Char Char Char"/>
    <w:basedOn w:val="1"/>
    <w:qFormat/>
    <w:uiPriority w:val="0"/>
    <w:rPr>
      <w:rFonts w:eastAsia="宋体"/>
      <w:sz w:val="21"/>
      <w:szCs w:val="20"/>
    </w:rPr>
  </w:style>
  <w:style w:type="paragraph" w:customStyle="1" w:styleId="30">
    <w:name w:val="Char Char Char Char Char Char Char Char Char"/>
    <w:basedOn w:val="1"/>
    <w:qFormat/>
    <w:uiPriority w:val="0"/>
    <w:rPr>
      <w:rFonts w:ascii="Arial" w:hAnsi="Arial" w:cs="Arial"/>
      <w:sz w:val="20"/>
      <w:szCs w:val="20"/>
    </w:rPr>
  </w:style>
  <w:style w:type="character" w:customStyle="1" w:styleId="31">
    <w:name w:val="正文文本 Char"/>
    <w:link w:val="3"/>
    <w:qFormat/>
    <w:uiPriority w:val="0"/>
    <w:rPr>
      <w:rFonts w:eastAsia="仿宋_GB2312"/>
      <w:b/>
      <w:color w:val="FF0000"/>
      <w:kern w:val="2"/>
      <w:sz w:val="4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4689</Words>
  <Characters>7235</Characters>
  <Lines>4</Lines>
  <Paragraphs>1</Paragraphs>
  <TotalTime>3</TotalTime>
  <ScaleCrop>false</ScaleCrop>
  <LinksUpToDate>false</LinksUpToDate>
  <CharactersWithSpaces>7285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2020-12-16T02:07:00Z</dcterms:created>
  <dc:creator>霍丹</dc:creator>
  <cp:lastModifiedBy>Acer</cp:lastModifiedBy>
  <cp:lastPrinted>2021-01-15T06:14:00Z</cp:lastPrinted>
  <dcterms:modified xsi:type="dcterms:W3CDTF">2022-08-09T08:09:59Z</dcterms:modified>
  <dc:title>重庆市人力资源和社会保障局文件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18321223CA04400884013EA363868DC0</vt:lpwstr>
  </property>
</Properties>
</file>