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imes New Roman"/>
          <w:sz w:val="20"/>
        </w:rPr>
      </w:pPr>
    </w:p>
    <w:p>
      <w:pPr>
        <w:spacing w:before="147"/>
        <w:ind w:left="266" w:right="0" w:firstLine="0"/>
        <w:jc w:val="left"/>
        <w:rPr>
          <w:rFonts w:ascii="方正小标宋简体" w:hAnsi="方正小标宋简体"/>
          <w:sz w:val="31"/>
        </w:rPr>
      </w:pPr>
      <w:r>
        <w:rPr>
          <w:rFonts w:ascii="Times New Roman" w:hAnsi="Times New Roman"/>
          <w:color w:val="231F20"/>
          <w:sz w:val="31"/>
        </w:rPr>
        <w:t>CSCR</w:t>
      </w:r>
      <w:r>
        <w:rPr>
          <w:rFonts w:ascii="方正小标宋简体" w:hAnsi="方正小标宋简体"/>
          <w:color w:val="231F20"/>
          <w:sz w:val="31"/>
        </w:rPr>
        <w:t>—2022—00003</w:t>
      </w:r>
    </w:p>
    <w:p>
      <w:pPr>
        <w:pStyle w:val="2"/>
        <w:spacing w:before="5"/>
        <w:rPr>
          <w:rFonts w:ascii="方正小标宋简体"/>
          <w:sz w:val="46"/>
        </w:rPr>
      </w:pPr>
    </w:p>
    <w:p>
      <w:pPr>
        <w:spacing w:before="0"/>
        <w:ind w:left="903" w:right="0" w:firstLine="0"/>
        <w:jc w:val="left"/>
        <w:rPr>
          <w:rFonts w:hint="eastAsia" w:ascii="方正大标宋简体" w:eastAsia="方正大标宋简体"/>
          <w:sz w:val="128"/>
        </w:rPr>
      </w:pPr>
      <w:r>
        <w:rPr>
          <w:rFonts w:hint="eastAsia" w:ascii="方正大标宋简体" w:eastAsia="方正大标宋简体"/>
          <w:color w:val="ED1C24"/>
          <w:spacing w:val="83"/>
          <w:w w:val="55"/>
          <w:sz w:val="128"/>
        </w:rPr>
        <w:t>长沙市人民政府文件</w:t>
      </w:r>
    </w:p>
    <w:p>
      <w:pPr>
        <w:pStyle w:val="2"/>
        <w:spacing w:before="0"/>
        <w:rPr>
          <w:rFonts w:ascii="方正大标宋简体"/>
          <w:sz w:val="20"/>
        </w:rPr>
      </w:pPr>
    </w:p>
    <w:p>
      <w:pPr>
        <w:pStyle w:val="2"/>
        <w:spacing w:before="0"/>
        <w:rPr>
          <w:rFonts w:ascii="方正大标宋简体"/>
          <w:sz w:val="20"/>
        </w:rPr>
      </w:pPr>
    </w:p>
    <w:p>
      <w:pPr>
        <w:pStyle w:val="2"/>
        <w:spacing w:before="10"/>
        <w:rPr>
          <w:rFonts w:ascii="方正大标宋简体"/>
          <w:sz w:val="18"/>
        </w:rPr>
      </w:pPr>
    </w:p>
    <w:p>
      <w:pPr>
        <w:pStyle w:val="2"/>
        <w:spacing w:before="6"/>
        <w:ind w:left="3074" w:right="3115"/>
        <w:jc w:val="center"/>
        <w:rPr>
          <w:rFonts w:hint="eastAsia" w:ascii="方正仿宋简体" w:eastAsia="方正仿宋简体"/>
        </w:rPr>
      </w:pPr>
      <w:r>
        <w:rPr>
          <w:rFonts w:hint="eastAsia" w:ascii="方正仿宋简体" w:eastAsia="方正仿宋简体"/>
          <w:color w:val="231F20"/>
        </w:rPr>
        <w:t>长政发 〔</w:t>
      </w:r>
      <w:r>
        <w:rPr>
          <w:rFonts w:ascii="Times New Roman" w:eastAsia="Times New Roman"/>
          <w:color w:val="231F20"/>
        </w:rPr>
        <w:t>2022</w:t>
      </w:r>
      <w:r>
        <w:rPr>
          <w:rFonts w:hint="eastAsia" w:ascii="方正仿宋简体" w:eastAsia="方正仿宋简体"/>
          <w:color w:val="231F20"/>
        </w:rPr>
        <w:t xml:space="preserve">〕 </w:t>
      </w:r>
      <w:r>
        <w:rPr>
          <w:rFonts w:ascii="Times New Roman" w:eastAsia="Times New Roman"/>
          <w:color w:val="231F20"/>
        </w:rPr>
        <w:t xml:space="preserve">10 </w:t>
      </w:r>
      <w:r>
        <w:rPr>
          <w:rFonts w:hint="eastAsia" w:ascii="方正仿宋简体" w:eastAsia="方正仿宋简体"/>
          <w:color w:val="231F20"/>
        </w:rPr>
        <w:t>号</w:t>
      </w:r>
    </w:p>
    <w:p>
      <w:pPr>
        <w:pStyle w:val="2"/>
        <w:spacing w:before="7"/>
        <w:rPr>
          <w:rFonts w:ascii="方正仿宋简体"/>
          <w:sz w:val="9"/>
        </w:rPr>
      </w:pPr>
      <w:r>
        <w:pict>
          <v:line id="_x0000_s1026" o:spid="_x0000_s1026" o:spt="20" style="position:absolute;left:0pt;margin-left:79.35pt;margin-top:10.4pt;height:0pt;width:439.35pt;mso-position-horizontal-relative:page;mso-wrap-distance-bottom:0pt;mso-wrap-distance-top:0pt;z-index:251659264;mso-width-relative:page;mso-height-relative:page;" stroked="t" coordsize="21600,21600">
            <v:path arrowok="t"/>
            <v:fill focussize="0,0"/>
            <v:stroke weight="2.92pt" color="#ED1C24"/>
            <v:imagedata o:title=""/>
            <o:lock v:ext="edit"/>
            <w10:wrap type="topAndBottom"/>
          </v:line>
        </w:pict>
      </w:r>
    </w:p>
    <w:p>
      <w:pPr>
        <w:pStyle w:val="2"/>
        <w:spacing w:before="0"/>
        <w:rPr>
          <w:rFonts w:ascii="方正仿宋简体"/>
          <w:sz w:val="20"/>
        </w:rPr>
      </w:pPr>
    </w:p>
    <w:p>
      <w:pPr>
        <w:pStyle w:val="2"/>
        <w:spacing w:before="12"/>
        <w:rPr>
          <w:rFonts w:ascii="方正仿宋简体"/>
          <w:sz w:val="26"/>
        </w:rPr>
      </w:pPr>
    </w:p>
    <w:p>
      <w:pPr>
        <w:spacing w:before="0" w:line="592" w:lineRule="exact"/>
        <w:ind w:left="3074" w:right="3115" w:firstLine="0"/>
        <w:jc w:val="center"/>
        <w:rPr>
          <w:rFonts w:hint="eastAsia" w:ascii="方正小标宋简体" w:eastAsia="方正小标宋简体"/>
          <w:sz w:val="41"/>
        </w:rPr>
      </w:pPr>
      <w:r>
        <w:rPr>
          <w:rFonts w:hint="eastAsia" w:ascii="方正小标宋简体" w:eastAsia="方正小标宋简体"/>
          <w:color w:val="231F20"/>
          <w:sz w:val="41"/>
        </w:rPr>
        <w:t>长沙市人民政府</w:t>
      </w:r>
    </w:p>
    <w:p>
      <w:pPr>
        <w:spacing w:before="79" w:line="268" w:lineRule="auto"/>
        <w:ind w:left="2465" w:right="1310" w:hanging="735"/>
        <w:jc w:val="left"/>
        <w:rPr>
          <w:rFonts w:hint="eastAsia" w:ascii="方正小标宋简体" w:hAnsi="方正小标宋简体" w:eastAsia="方正小标宋简体"/>
          <w:sz w:val="41"/>
        </w:rPr>
      </w:pPr>
      <w:r>
        <w:rPr>
          <w:rFonts w:hint="eastAsia" w:ascii="方正小标宋简体" w:hAnsi="方正小标宋简体" w:eastAsia="方正小标宋简体"/>
          <w:color w:val="231F20"/>
          <w:sz w:val="41"/>
        </w:rPr>
        <w:t>关于印发《长沙市“一老一小” 整体解决方案》的通知</w:t>
      </w:r>
    </w:p>
    <w:p>
      <w:pPr>
        <w:pStyle w:val="2"/>
        <w:spacing w:before="9"/>
        <w:rPr>
          <w:rFonts w:ascii="方正小标宋简体"/>
          <w:sz w:val="43"/>
        </w:rPr>
      </w:pPr>
    </w:p>
    <w:p>
      <w:pPr>
        <w:pStyle w:val="2"/>
        <w:spacing w:before="0" w:line="343" w:lineRule="auto"/>
        <w:ind w:left="732" w:right="196" w:hanging="619"/>
        <w:rPr>
          <w:rFonts w:hint="eastAsia" w:ascii="方正楷体_GBK" w:hAnsi="方正楷体_GBK" w:eastAsia="方正楷体_GBK"/>
        </w:rPr>
      </w:pPr>
      <w:r>
        <w:rPr>
          <w:rFonts w:hint="eastAsia" w:ascii="方正楷体_GBK" w:hAnsi="方正楷体_GBK" w:eastAsia="方正楷体_GBK"/>
          <w:color w:val="231F20"/>
        </w:rPr>
        <w:t>湖南湘江新区管委会，各区县 （市） 人民政府，市直机关各单位： 现将《长沙市“ 一老一小” 整体解决方案》 印发给你们， 请</w:t>
      </w:r>
    </w:p>
    <w:p>
      <w:pPr>
        <w:pStyle w:val="2"/>
        <w:ind w:left="113"/>
        <w:rPr>
          <w:rFonts w:hint="eastAsia" w:ascii="方正楷体_GBK" w:eastAsia="方正楷体_GBK"/>
        </w:rPr>
      </w:pPr>
      <w:r>
        <w:rPr>
          <w:rFonts w:hint="eastAsia" w:ascii="方正楷体_GBK" w:eastAsia="方正楷体_GBK"/>
          <w:color w:val="231F20"/>
        </w:rPr>
        <w:t>认真遵照执行。</w:t>
      </w:r>
    </w:p>
    <w:p>
      <w:pPr>
        <w:pStyle w:val="2"/>
        <w:spacing w:before="0"/>
        <w:rPr>
          <w:rFonts w:ascii="方正楷体_GBK"/>
          <w:sz w:val="20"/>
        </w:rPr>
      </w:pPr>
    </w:p>
    <w:p>
      <w:pPr>
        <w:pStyle w:val="2"/>
        <w:spacing w:before="0"/>
        <w:rPr>
          <w:rFonts w:ascii="方正楷体_GBK"/>
          <w:sz w:val="20"/>
        </w:rPr>
      </w:pPr>
    </w:p>
    <w:p>
      <w:pPr>
        <w:pStyle w:val="2"/>
        <w:spacing w:before="0"/>
        <w:rPr>
          <w:rFonts w:ascii="方正楷体_GBK"/>
          <w:sz w:val="20"/>
        </w:rPr>
      </w:pPr>
    </w:p>
    <w:p>
      <w:pPr>
        <w:pStyle w:val="2"/>
        <w:spacing w:before="0"/>
        <w:rPr>
          <w:rFonts w:ascii="方正楷体_GBK"/>
          <w:sz w:val="20"/>
        </w:rPr>
      </w:pPr>
    </w:p>
    <w:p>
      <w:pPr>
        <w:pStyle w:val="2"/>
        <w:spacing w:before="9"/>
        <w:rPr>
          <w:rFonts w:ascii="方正楷体_GBK"/>
          <w:sz w:val="14"/>
        </w:rPr>
      </w:pPr>
    </w:p>
    <w:p>
      <w:pPr>
        <w:spacing w:after="0"/>
        <w:rPr>
          <w:rFonts w:ascii="方正楷体_GBK"/>
          <w:sz w:val="14"/>
        </w:rPr>
        <w:sectPr>
          <w:footerReference r:id="rId5" w:type="default"/>
          <w:footerReference r:id="rId6" w:type="even"/>
          <w:type w:val="continuous"/>
          <w:pgSz w:w="11910" w:h="16840"/>
          <w:pgMar w:top="1580" w:right="1320" w:bottom="1940" w:left="1420" w:header="720" w:footer="1755" w:gutter="0"/>
          <w:pgNumType w:start="1"/>
          <w:cols w:space="720" w:num="1"/>
        </w:sectPr>
      </w:pPr>
    </w:p>
    <w:p>
      <w:pPr>
        <w:pStyle w:val="2"/>
        <w:spacing w:before="0"/>
        <w:rPr>
          <w:rFonts w:ascii="方正楷体_GBK"/>
          <w:sz w:val="32"/>
        </w:rPr>
      </w:pPr>
    </w:p>
    <w:p>
      <w:pPr>
        <w:pStyle w:val="2"/>
        <w:spacing w:before="0"/>
        <w:rPr>
          <w:rFonts w:ascii="方正楷体_GBK"/>
          <w:sz w:val="32"/>
        </w:rPr>
      </w:pPr>
    </w:p>
    <w:p>
      <w:pPr>
        <w:pStyle w:val="2"/>
        <w:spacing w:before="273"/>
        <w:ind w:left="628"/>
        <w:rPr>
          <w:rFonts w:hint="eastAsia" w:ascii="方正楷体_GBK" w:eastAsia="方正楷体_GBK"/>
        </w:rPr>
      </w:pPr>
      <w:r>
        <w:rPr>
          <w:rFonts w:hint="eastAsia" w:ascii="方正楷体_GBK" w:eastAsia="方正楷体_GBK"/>
          <w:color w:val="231F20"/>
        </w:rPr>
        <w:t>（此件主动公开）</w:t>
      </w:r>
    </w:p>
    <w:p>
      <w:pPr>
        <w:pStyle w:val="2"/>
        <w:spacing w:before="6"/>
        <w:ind w:left="697"/>
        <w:rPr>
          <w:rFonts w:hint="eastAsia" w:ascii="方正楷体_GBK" w:eastAsia="方正楷体_GBK"/>
        </w:rPr>
      </w:pPr>
      <w:r>
        <w:br w:type="column"/>
      </w:r>
      <w:r>
        <w:rPr>
          <w:rFonts w:hint="eastAsia" w:ascii="方正楷体_GBK" w:eastAsia="方正楷体_GBK"/>
          <w:color w:val="231F20"/>
        </w:rPr>
        <w:t>长沙市人民政府</w:t>
      </w:r>
    </w:p>
    <w:p>
      <w:pPr>
        <w:pStyle w:val="2"/>
        <w:spacing w:before="175"/>
        <w:ind w:left="628"/>
        <w:rPr>
          <w:rFonts w:hint="eastAsia" w:ascii="方正楷体_GBK" w:eastAsia="方正楷体_GBK"/>
        </w:rPr>
      </w:pPr>
      <w:r>
        <w:rPr>
          <w:rFonts w:ascii="Times New Roman" w:eastAsia="Times New Roman"/>
          <w:color w:val="231F20"/>
        </w:rPr>
        <w:t xml:space="preserve">2022 </w:t>
      </w:r>
      <w:r>
        <w:rPr>
          <w:rFonts w:hint="eastAsia" w:ascii="方正楷体_GBK" w:eastAsia="方正楷体_GBK"/>
          <w:color w:val="231F20"/>
          <w:spacing w:val="50"/>
        </w:rPr>
        <w:t>年</w:t>
      </w:r>
      <w:r>
        <w:rPr>
          <w:rFonts w:ascii="Times New Roman" w:eastAsia="Times New Roman"/>
          <w:color w:val="231F20"/>
        </w:rPr>
        <w:t xml:space="preserve">12 </w:t>
      </w:r>
      <w:r>
        <w:rPr>
          <w:rFonts w:hint="eastAsia" w:ascii="方正楷体_GBK" w:eastAsia="方正楷体_GBK"/>
          <w:color w:val="231F20"/>
          <w:spacing w:val="50"/>
        </w:rPr>
        <w:t>月</w:t>
      </w:r>
      <w:r>
        <w:rPr>
          <w:rFonts w:ascii="Times New Roman" w:eastAsia="Times New Roman"/>
          <w:color w:val="231F20"/>
        </w:rPr>
        <w:t xml:space="preserve">22 </w:t>
      </w:r>
      <w:r>
        <w:rPr>
          <w:rFonts w:hint="eastAsia" w:ascii="方正楷体_GBK" w:eastAsia="方正楷体_GBK"/>
          <w:color w:val="231F20"/>
        </w:rPr>
        <w:t>日</w:t>
      </w:r>
    </w:p>
    <w:p>
      <w:pPr>
        <w:spacing w:after="0"/>
        <w:rPr>
          <w:rFonts w:hint="eastAsia" w:ascii="方正楷体_GBK" w:eastAsia="方正楷体_GBK"/>
        </w:rPr>
        <w:sectPr>
          <w:type w:val="continuous"/>
          <w:pgSz w:w="11910" w:h="16840"/>
          <w:pgMar w:top="1580" w:right="1320" w:bottom="1940" w:left="1420" w:header="720" w:footer="720" w:gutter="0"/>
          <w:cols w:equalWidth="0" w:num="2">
            <w:col w:w="2991" w:space="1864"/>
            <w:col w:w="4315"/>
          </w:cols>
        </w:sectPr>
      </w:pPr>
    </w:p>
    <w:p>
      <w:pPr>
        <w:pStyle w:val="2"/>
        <w:spacing w:before="0"/>
        <w:rPr>
          <w:rFonts w:ascii="方正楷体_GBK"/>
          <w:sz w:val="20"/>
        </w:rPr>
      </w:pPr>
    </w:p>
    <w:p>
      <w:pPr>
        <w:pStyle w:val="2"/>
        <w:spacing w:before="0"/>
        <w:rPr>
          <w:rFonts w:ascii="方正楷体_GBK"/>
          <w:sz w:val="20"/>
        </w:rPr>
      </w:pPr>
    </w:p>
    <w:p>
      <w:pPr>
        <w:pStyle w:val="2"/>
        <w:spacing w:before="13"/>
        <w:rPr>
          <w:rFonts w:ascii="方正楷体_GBK"/>
          <w:sz w:val="18"/>
        </w:rPr>
      </w:pPr>
    </w:p>
    <w:p>
      <w:pPr>
        <w:keepNext w:val="0"/>
        <w:keepLines w:val="0"/>
        <w:pageBreakBefore w:val="0"/>
        <w:widowControl w:val="0"/>
        <w:kinsoku/>
        <w:wordWrap/>
        <w:overflowPunct/>
        <w:topLinePunct w:val="0"/>
        <w:autoSpaceDE w:val="0"/>
        <w:autoSpaceDN w:val="0"/>
        <w:bidi w:val="0"/>
        <w:adjustRightInd/>
        <w:snapToGrid/>
        <w:spacing w:before="0" w:line="592" w:lineRule="exact"/>
        <w:ind w:left="96" w:right="130" w:firstLine="0"/>
        <w:jc w:val="center"/>
        <w:textAlignment w:val="auto"/>
        <w:rPr>
          <w:rFonts w:hint="eastAsia" w:ascii="方正小标宋简体" w:hAnsi="方正小标宋简体" w:eastAsia="方正小标宋简体"/>
          <w:sz w:val="41"/>
        </w:rPr>
      </w:pPr>
      <w:r>
        <w:rPr>
          <w:rFonts w:hint="eastAsia" w:ascii="方正小标宋简体" w:hAnsi="方正小标宋简体" w:eastAsia="方正小标宋简体"/>
          <w:color w:val="231F20"/>
          <w:sz w:val="41"/>
        </w:rPr>
        <w:t>长沙市“一老一小”整体解决方案</w:t>
      </w:r>
    </w:p>
    <w:p>
      <w:pPr>
        <w:pStyle w:val="2"/>
        <w:spacing w:before="10"/>
        <w:rPr>
          <w:rFonts w:ascii="方正小标宋简体"/>
          <w:sz w:val="49"/>
        </w:rPr>
      </w:pPr>
    </w:p>
    <w:p>
      <w:pPr>
        <w:pStyle w:val="2"/>
        <w:spacing w:before="0" w:line="348" w:lineRule="auto"/>
        <w:ind w:left="217" w:right="140" w:firstLine="619"/>
      </w:pPr>
      <w:r>
        <w:rPr>
          <w:color w:val="231F20"/>
          <w:spacing w:val="23"/>
        </w:rPr>
        <w:t>根据党中央、国务院关于优化生育政策促进人口长期均衡发</w:t>
      </w:r>
      <w:r>
        <w:rPr>
          <w:color w:val="231F20"/>
          <w:spacing w:val="20"/>
        </w:rPr>
        <w:t>展的决策部署和《国务院办公厅关于促进养老托育服务健康发展</w:t>
      </w:r>
      <w:r>
        <w:rPr>
          <w:color w:val="231F20"/>
          <w:spacing w:val="-5"/>
        </w:rPr>
        <w:t>的意见》</w:t>
      </w:r>
      <w:r>
        <w:rPr>
          <w:color w:val="231F20"/>
          <w:spacing w:val="-22"/>
        </w:rPr>
        <w:t>（</w:t>
      </w:r>
      <w:r>
        <w:rPr>
          <w:color w:val="231F20"/>
          <w:spacing w:val="-4"/>
        </w:rPr>
        <w:t>国办发 〔</w:t>
      </w:r>
      <w:r>
        <w:rPr>
          <w:rFonts w:ascii="Times New Roman" w:hAnsi="Times New Roman" w:eastAsia="Times New Roman"/>
          <w:color w:val="231F20"/>
          <w:spacing w:val="-7"/>
        </w:rPr>
        <w:t>2020</w:t>
      </w:r>
      <w:r>
        <w:rPr>
          <w:color w:val="231F20"/>
          <w:spacing w:val="-15"/>
        </w:rPr>
        <w:t xml:space="preserve">〕 </w:t>
      </w:r>
      <w:r>
        <w:rPr>
          <w:rFonts w:ascii="Times New Roman" w:hAnsi="Times New Roman" w:eastAsia="Times New Roman"/>
          <w:color w:val="231F20"/>
        </w:rPr>
        <w:t>52</w:t>
      </w:r>
      <w:r>
        <w:rPr>
          <w:rFonts w:ascii="Times New Roman" w:hAnsi="Times New Roman" w:eastAsia="Times New Roman"/>
          <w:color w:val="231F20"/>
          <w:spacing w:val="11"/>
        </w:rPr>
        <w:t xml:space="preserve"> </w:t>
      </w:r>
      <w:r>
        <w:rPr>
          <w:color w:val="231F20"/>
          <w:spacing w:val="-22"/>
        </w:rPr>
        <w:t>号</w:t>
      </w:r>
      <w:r>
        <w:rPr>
          <w:color w:val="231F20"/>
        </w:rPr>
        <w:t>）</w:t>
      </w:r>
      <w:r>
        <w:rPr>
          <w:color w:val="231F20"/>
          <w:spacing w:val="12"/>
        </w:rPr>
        <w:t xml:space="preserve"> 精神，高质量推进“一老一小” </w:t>
      </w:r>
      <w:r>
        <w:rPr>
          <w:color w:val="231F20"/>
          <w:spacing w:val="21"/>
        </w:rPr>
        <w:t xml:space="preserve">决策部署落地见效，促进全市养老托育服务健康发展，培育经济 </w:t>
      </w:r>
      <w:r>
        <w:rPr>
          <w:color w:val="231F20"/>
          <w:spacing w:val="11"/>
        </w:rPr>
        <w:t>发展新动能，结合我市实际，制定本方案。</w:t>
      </w:r>
    </w:p>
    <w:p>
      <w:pPr>
        <w:pStyle w:val="2"/>
        <w:spacing w:before="38"/>
        <w:ind w:left="836"/>
        <w:rPr>
          <w:rFonts w:hint="eastAsia" w:ascii="方正黑体_GBK" w:eastAsia="方正黑体_GBK"/>
        </w:rPr>
      </w:pPr>
      <w:r>
        <w:rPr>
          <w:rFonts w:hint="eastAsia" w:ascii="方正黑体_GBK" w:eastAsia="方正黑体_GBK"/>
          <w:color w:val="231F20"/>
        </w:rPr>
        <w:t>一、实施背景</w:t>
      </w:r>
    </w:p>
    <w:p>
      <w:pPr>
        <w:pStyle w:val="2"/>
        <w:spacing w:before="203"/>
        <w:ind w:left="95" w:right="5894"/>
        <w:jc w:val="center"/>
        <w:rPr>
          <w:rFonts w:hint="eastAsia" w:ascii="方正楷体_GBK" w:eastAsia="方正楷体_GBK"/>
        </w:rPr>
      </w:pPr>
      <w:r>
        <w:rPr>
          <w:rFonts w:hint="eastAsia" w:ascii="方正楷体_GBK" w:eastAsia="方正楷体_GBK"/>
          <w:color w:val="231F20"/>
        </w:rPr>
        <w:t>（一） 发展基础</w:t>
      </w:r>
    </w:p>
    <w:p>
      <w:pPr>
        <w:pStyle w:val="2"/>
        <w:spacing w:before="195" w:line="348" w:lineRule="auto"/>
        <w:ind w:left="217" w:right="101" w:firstLine="619"/>
      </w:pPr>
      <w:r>
        <w:rPr>
          <w:color w:val="231F20"/>
          <w:spacing w:val="10"/>
        </w:rPr>
        <w:t>近年来， 我市坚持以习近平总书记有关重要论述和指示精神</w:t>
      </w:r>
      <w:r>
        <w:rPr>
          <w:color w:val="231F20"/>
          <w:spacing w:val="21"/>
        </w:rPr>
        <w:t>为指导，坚决贯彻落实市委有关养老托育服务决策部署，积极参</w:t>
      </w:r>
      <w:r>
        <w:rPr>
          <w:color w:val="231F20"/>
          <w:spacing w:val="27"/>
        </w:rPr>
        <w:t xml:space="preserve">与国家发展改革委城企联动普惠养老、普惠托育服务专项行动， </w:t>
      </w:r>
      <w:r>
        <w:rPr>
          <w:color w:val="231F20"/>
          <w:spacing w:val="21"/>
        </w:rPr>
        <w:t>以获批全国养老服务业综合改革、居家和社区养老服务改革、医养融合改革试点城市为契机，加快推进养老托育服务发展，养老托育服务改革成效显著。</w:t>
      </w:r>
      <w:r>
        <w:rPr>
          <w:rFonts w:ascii="Times New Roman" w:eastAsia="Times New Roman"/>
          <w:color w:val="231F20"/>
        </w:rPr>
        <w:t>2020</w:t>
      </w:r>
      <w:r>
        <w:rPr>
          <w:rFonts w:ascii="Times New Roman" w:eastAsia="Times New Roman"/>
          <w:color w:val="231F20"/>
          <w:spacing w:val="16"/>
        </w:rPr>
        <w:t xml:space="preserve"> </w:t>
      </w:r>
      <w:r>
        <w:rPr>
          <w:color w:val="231F20"/>
          <w:spacing w:val="21"/>
        </w:rPr>
        <w:t>年、</w:t>
      </w:r>
      <w:r>
        <w:rPr>
          <w:rFonts w:ascii="Times New Roman" w:eastAsia="Times New Roman"/>
          <w:color w:val="231F20"/>
        </w:rPr>
        <w:t>2021</w:t>
      </w:r>
      <w:r>
        <w:rPr>
          <w:rFonts w:ascii="Times New Roman" w:eastAsia="Times New Roman"/>
          <w:color w:val="231F20"/>
          <w:spacing w:val="16"/>
        </w:rPr>
        <w:t xml:space="preserve"> </w:t>
      </w:r>
      <w:r>
        <w:rPr>
          <w:color w:val="231F20"/>
          <w:spacing w:val="18"/>
        </w:rPr>
        <w:t>年连续获得省人民政府养</w:t>
      </w:r>
      <w:r>
        <w:rPr>
          <w:color w:val="231F20"/>
          <w:spacing w:val="10"/>
        </w:rPr>
        <w:t>老服务真抓实干激励表彰。</w:t>
      </w:r>
    </w:p>
    <w:p>
      <w:pPr>
        <w:pStyle w:val="6"/>
        <w:numPr>
          <w:ilvl w:val="0"/>
          <w:numId w:val="1"/>
        </w:numPr>
        <w:tabs>
          <w:tab w:val="left" w:pos="1119"/>
        </w:tabs>
        <w:spacing w:before="43" w:after="0" w:line="240" w:lineRule="auto"/>
        <w:ind w:left="213" w:right="0" w:firstLine="623"/>
        <w:jc w:val="left"/>
        <w:rPr>
          <w:sz w:val="29"/>
        </w:rPr>
      </w:pPr>
      <w:r>
        <w:rPr>
          <w:color w:val="231F20"/>
          <w:spacing w:val="10"/>
          <w:sz w:val="29"/>
        </w:rPr>
        <w:t>养老托育服务政策初成体系。《长沙市居家养老服务条例》</w:t>
      </w:r>
    </w:p>
    <w:p>
      <w:pPr>
        <w:pStyle w:val="2"/>
        <w:spacing w:before="190"/>
        <w:ind w:left="95" w:right="234"/>
        <w:jc w:val="center"/>
      </w:pPr>
      <w:r>
        <w:rPr>
          <w:color w:val="231F20"/>
        </w:rPr>
        <w:t xml:space="preserve">（长沙市人民代表大会常务委员会公告 </w:t>
      </w:r>
      <w:r>
        <w:rPr>
          <w:rFonts w:ascii="Times New Roman" w:eastAsia="Times New Roman"/>
          <w:color w:val="231F20"/>
        </w:rPr>
        <w:t xml:space="preserve">2021 </w:t>
      </w:r>
      <w:r>
        <w:rPr>
          <w:color w:val="231F20"/>
        </w:rPr>
        <w:t xml:space="preserve">年第 </w:t>
      </w:r>
      <w:r>
        <w:rPr>
          <w:rFonts w:ascii="Times New Roman" w:eastAsia="Times New Roman"/>
          <w:color w:val="231F20"/>
        </w:rPr>
        <w:t xml:space="preserve">3 </w:t>
      </w:r>
      <w:r>
        <w:rPr>
          <w:color w:val="231F20"/>
        </w:rPr>
        <w:t xml:space="preserve">号） 已于 </w:t>
      </w:r>
      <w:r>
        <w:rPr>
          <w:rFonts w:ascii="Times New Roman" w:eastAsia="Times New Roman"/>
          <w:color w:val="231F20"/>
        </w:rPr>
        <w:t xml:space="preserve">2022 </w:t>
      </w:r>
      <w:r>
        <w:rPr>
          <w:color w:val="231F20"/>
        </w:rPr>
        <w:t>年</w:t>
      </w:r>
    </w:p>
    <w:p>
      <w:pPr>
        <w:pStyle w:val="2"/>
        <w:spacing w:before="190" w:line="348" w:lineRule="auto"/>
        <w:ind w:left="217" w:right="102" w:hanging="150"/>
        <w:jc w:val="center"/>
      </w:pPr>
      <w:r>
        <w:rPr>
          <w:rFonts w:ascii="Times New Roman" w:eastAsia="Times New Roman"/>
          <w:color w:val="231F20"/>
        </w:rPr>
        <w:t xml:space="preserve">1 </w:t>
      </w:r>
      <w:r>
        <w:rPr>
          <w:color w:val="231F20"/>
          <w:spacing w:val="-24"/>
        </w:rPr>
        <w:t xml:space="preserve">月 </w:t>
      </w:r>
      <w:r>
        <w:rPr>
          <w:rFonts w:ascii="Times New Roman" w:eastAsia="Times New Roman"/>
          <w:color w:val="231F20"/>
        </w:rPr>
        <w:t xml:space="preserve">1 </w:t>
      </w:r>
      <w:r>
        <w:rPr>
          <w:color w:val="231F20"/>
          <w:spacing w:val="10"/>
        </w:rPr>
        <w:t xml:space="preserve">日起施行。《长沙市人民政府办公厅关于全面放开养老服务 </w:t>
      </w:r>
      <w:r>
        <w:rPr>
          <w:color w:val="231F20"/>
          <w:spacing w:val="27"/>
        </w:rPr>
        <w:t>市场提升养老服务质量的实施意见》</w:t>
      </w:r>
      <w:r>
        <w:rPr>
          <w:color w:val="231F20"/>
          <w:spacing w:val="-10"/>
        </w:rPr>
        <w:t>（</w:t>
      </w:r>
      <w:r>
        <w:rPr>
          <w:color w:val="231F20"/>
          <w:spacing w:val="10"/>
        </w:rPr>
        <w:t>长政办发 〔</w:t>
      </w:r>
      <w:r>
        <w:rPr>
          <w:rFonts w:ascii="Times New Roman" w:eastAsia="Times New Roman"/>
          <w:color w:val="231F20"/>
          <w:spacing w:val="-7"/>
        </w:rPr>
        <w:t>2019</w:t>
      </w:r>
      <w:r>
        <w:rPr>
          <w:color w:val="231F20"/>
          <w:spacing w:val="-5"/>
        </w:rPr>
        <w:t xml:space="preserve">〕 </w:t>
      </w:r>
      <w:r>
        <w:rPr>
          <w:rFonts w:ascii="Times New Roman" w:eastAsia="Times New Roman"/>
          <w:color w:val="231F20"/>
        </w:rPr>
        <w:t xml:space="preserve">1 </w:t>
      </w:r>
      <w:r>
        <w:rPr>
          <w:color w:val="231F20"/>
          <w:spacing w:val="-10"/>
        </w:rPr>
        <w:t>号</w:t>
      </w:r>
      <w:r>
        <w:rPr>
          <w:color w:val="231F20"/>
          <w:spacing w:val="-69"/>
        </w:rPr>
        <w:t>）</w:t>
      </w:r>
      <w:r>
        <w:rPr>
          <w:color w:val="231F20"/>
        </w:rPr>
        <w:t>、</w:t>
      </w:r>
    </w:p>
    <w:p>
      <w:pPr>
        <w:spacing w:after="0" w:line="348" w:lineRule="auto"/>
        <w:jc w:val="center"/>
        <w:sectPr>
          <w:pgSz w:w="11910" w:h="16840"/>
          <w:pgMar w:top="1580" w:right="1280" w:bottom="1940" w:left="1260" w:header="0" w:footer="1755" w:gutter="0"/>
          <w:cols w:space="720" w:num="1"/>
        </w:sectPr>
      </w:pPr>
    </w:p>
    <w:p>
      <w:pPr>
        <w:pStyle w:val="2"/>
        <w:spacing w:before="6"/>
        <w:rPr>
          <w:sz w:val="7"/>
        </w:rPr>
      </w:pPr>
    </w:p>
    <w:p>
      <w:pPr>
        <w:pStyle w:val="2"/>
        <w:spacing w:before="6" w:line="338" w:lineRule="auto"/>
        <w:ind w:left="213" w:right="255" w:hanging="112"/>
        <w:jc w:val="both"/>
      </w:pPr>
      <w:r>
        <w:rPr>
          <w:color w:val="231F20"/>
          <w:spacing w:val="10"/>
        </w:rPr>
        <w:t xml:space="preserve">《长沙市人民政府办公厅关于推进 </w:t>
      </w:r>
      <w:r>
        <w:rPr>
          <w:rFonts w:ascii="Times New Roman" w:eastAsia="Times New Roman"/>
          <w:color w:val="231F20"/>
        </w:rPr>
        <w:t xml:space="preserve">3 </w:t>
      </w:r>
      <w:r>
        <w:rPr>
          <w:color w:val="231F20"/>
          <w:spacing w:val="17"/>
        </w:rPr>
        <w:t>岁以下婴幼儿照护服务发展的</w:t>
      </w:r>
      <w:r>
        <w:rPr>
          <w:color w:val="231F20"/>
        </w:rPr>
        <w:t>实施意见》</w:t>
      </w:r>
      <w:r>
        <w:rPr>
          <w:color w:val="231F20"/>
          <w:spacing w:val="-22"/>
        </w:rPr>
        <w:t>（</w:t>
      </w:r>
      <w:r>
        <w:rPr>
          <w:color w:val="231F20"/>
          <w:spacing w:val="-1"/>
        </w:rPr>
        <w:t>长政办发 〔</w:t>
      </w:r>
      <w:r>
        <w:rPr>
          <w:rFonts w:ascii="Times New Roman" w:eastAsia="Times New Roman"/>
          <w:color w:val="231F20"/>
          <w:spacing w:val="-7"/>
        </w:rPr>
        <w:t>2020</w:t>
      </w:r>
      <w:r>
        <w:rPr>
          <w:color w:val="231F20"/>
          <w:spacing w:val="-20"/>
        </w:rPr>
        <w:t xml:space="preserve">〕 </w:t>
      </w:r>
      <w:r>
        <w:rPr>
          <w:rFonts w:ascii="Times New Roman" w:eastAsia="Times New Roman"/>
          <w:color w:val="231F20"/>
        </w:rPr>
        <w:t xml:space="preserve">43 </w:t>
      </w:r>
      <w:r>
        <w:rPr>
          <w:color w:val="231F20"/>
          <w:spacing w:val="-22"/>
        </w:rPr>
        <w:t>号</w:t>
      </w:r>
      <w:r>
        <w:rPr>
          <w:color w:val="231F20"/>
          <w:spacing w:val="-81"/>
        </w:rPr>
        <w:t>）</w:t>
      </w:r>
      <w:r>
        <w:rPr>
          <w:color w:val="231F20"/>
          <w:spacing w:val="10"/>
        </w:rPr>
        <w:t>、《中共长沙市委 长沙市人</w:t>
      </w:r>
      <w:r>
        <w:rPr>
          <w:color w:val="231F20"/>
          <w:spacing w:val="20"/>
        </w:rPr>
        <w:t>民政府印发〈关于优化生育政策促进人口长期均衡发展的工作方</w:t>
      </w:r>
      <w:r>
        <w:rPr>
          <w:color w:val="231F20"/>
          <w:spacing w:val="-17"/>
        </w:rPr>
        <w:t>案〉 的通知》</w:t>
      </w:r>
      <w:r>
        <w:rPr>
          <w:color w:val="231F20"/>
          <w:spacing w:val="-28"/>
        </w:rPr>
        <w:t>（</w:t>
      </w:r>
      <w:r>
        <w:rPr>
          <w:color w:val="231F20"/>
          <w:spacing w:val="-15"/>
        </w:rPr>
        <w:t>长发 〔</w:t>
      </w:r>
      <w:r>
        <w:rPr>
          <w:rFonts w:ascii="Times New Roman" w:eastAsia="Times New Roman"/>
          <w:color w:val="231F20"/>
          <w:spacing w:val="-7"/>
        </w:rPr>
        <w:t>2022</w:t>
      </w:r>
      <w:r>
        <w:rPr>
          <w:color w:val="231F20"/>
          <w:spacing w:val="-21"/>
        </w:rPr>
        <w:t xml:space="preserve">〕 </w:t>
      </w:r>
      <w:r>
        <w:rPr>
          <w:rFonts w:ascii="Times New Roman" w:eastAsia="Times New Roman"/>
          <w:color w:val="231F20"/>
        </w:rPr>
        <w:t xml:space="preserve">21 </w:t>
      </w:r>
      <w:r>
        <w:rPr>
          <w:color w:val="231F20"/>
          <w:spacing w:val="-28"/>
        </w:rPr>
        <w:t>号</w:t>
      </w:r>
      <w:r>
        <w:rPr>
          <w:color w:val="231F20"/>
        </w:rPr>
        <w:t>）</w:t>
      </w:r>
      <w:r>
        <w:rPr>
          <w:color w:val="231F20"/>
          <w:spacing w:val="5"/>
        </w:rPr>
        <w:t xml:space="preserve"> 等规范性文件相继出台。市政</w:t>
      </w:r>
      <w:r>
        <w:rPr>
          <w:color w:val="231F20"/>
          <w:spacing w:val="20"/>
        </w:rPr>
        <w:t>府办公厅和相关部门配套制定了《长沙市人民政府办公厅关于印</w:t>
      </w:r>
      <w:r>
        <w:rPr>
          <w:color w:val="231F20"/>
          <w:spacing w:val="28"/>
        </w:rPr>
        <w:t>发 〈长沙市新建住宅项目配建居家养老服务用房移交管理办法</w:t>
      </w:r>
    </w:p>
    <w:p>
      <w:pPr>
        <w:pStyle w:val="2"/>
        <w:spacing w:line="338" w:lineRule="auto"/>
        <w:ind w:left="213" w:right="255" w:hanging="105"/>
        <w:jc w:val="both"/>
      </w:pPr>
      <w:r>
        <w:rPr>
          <w:color w:val="231F20"/>
          <w:spacing w:val="-22"/>
        </w:rPr>
        <w:t>（</w:t>
      </w:r>
      <w:r>
        <w:rPr>
          <w:color w:val="231F20"/>
        </w:rPr>
        <w:t>试行）</w:t>
      </w:r>
      <w:r>
        <w:rPr>
          <w:color w:val="231F20"/>
          <w:spacing w:val="-23"/>
        </w:rPr>
        <w:t xml:space="preserve"> 〉 的通知》</w:t>
      </w:r>
      <w:r>
        <w:rPr>
          <w:color w:val="231F20"/>
          <w:spacing w:val="-22"/>
        </w:rPr>
        <w:t>（</w:t>
      </w:r>
      <w:r>
        <w:rPr>
          <w:color w:val="231F20"/>
          <w:spacing w:val="-1"/>
        </w:rPr>
        <w:t>长政办发 〔</w:t>
      </w:r>
      <w:r>
        <w:rPr>
          <w:rFonts w:ascii="Times New Roman" w:eastAsia="Times New Roman"/>
          <w:color w:val="231F20"/>
          <w:spacing w:val="-7"/>
        </w:rPr>
        <w:t>2022</w:t>
      </w:r>
      <w:r>
        <w:rPr>
          <w:color w:val="231F20"/>
          <w:spacing w:val="-19"/>
        </w:rPr>
        <w:t xml:space="preserve">〕 </w:t>
      </w:r>
      <w:r>
        <w:rPr>
          <w:rFonts w:ascii="Times New Roman" w:eastAsia="Times New Roman"/>
          <w:color w:val="231F20"/>
        </w:rPr>
        <w:t xml:space="preserve">49 </w:t>
      </w:r>
      <w:r>
        <w:rPr>
          <w:color w:val="231F20"/>
          <w:spacing w:val="-22"/>
        </w:rPr>
        <w:t>号</w:t>
      </w:r>
      <w:r>
        <w:rPr>
          <w:color w:val="231F20"/>
        </w:rPr>
        <w:t>）</w:t>
      </w:r>
      <w:r>
        <w:rPr>
          <w:color w:val="231F20"/>
          <w:spacing w:val="10"/>
        </w:rPr>
        <w:t xml:space="preserve"> 等多个制度和实施</w:t>
      </w:r>
      <w:r>
        <w:rPr>
          <w:color w:val="231F20"/>
          <w:spacing w:val="11"/>
        </w:rPr>
        <w:t>细则，推进我市养老托育服务走上规范化发展道路。</w:t>
      </w:r>
    </w:p>
    <w:p>
      <w:pPr>
        <w:pStyle w:val="6"/>
        <w:numPr>
          <w:ilvl w:val="0"/>
          <w:numId w:val="1"/>
        </w:numPr>
        <w:tabs>
          <w:tab w:val="left" w:pos="1115"/>
        </w:tabs>
        <w:spacing w:before="40" w:after="0" w:line="338" w:lineRule="auto"/>
        <w:ind w:left="213" w:right="150" w:firstLine="620"/>
        <w:jc w:val="both"/>
        <w:rPr>
          <w:sz w:val="29"/>
        </w:rPr>
      </w:pPr>
      <w:r>
        <w:rPr>
          <w:color w:val="231F20"/>
          <w:spacing w:val="16"/>
          <w:sz w:val="29"/>
        </w:rPr>
        <w:t xml:space="preserve">养老托育服务供给能力明显提升。截至 </w:t>
      </w:r>
      <w:r>
        <w:rPr>
          <w:rFonts w:ascii="Times New Roman" w:eastAsia="Times New Roman"/>
          <w:color w:val="231F20"/>
          <w:sz w:val="29"/>
        </w:rPr>
        <w:t>2021</w:t>
      </w:r>
      <w:r>
        <w:rPr>
          <w:rFonts w:ascii="Times New Roman" w:eastAsia="Times New Roman"/>
          <w:color w:val="231F20"/>
          <w:spacing w:val="16"/>
          <w:sz w:val="29"/>
        </w:rPr>
        <w:t xml:space="preserve"> </w:t>
      </w:r>
      <w:r>
        <w:rPr>
          <w:color w:val="231F20"/>
          <w:spacing w:val="18"/>
          <w:sz w:val="29"/>
        </w:rPr>
        <w:t>年底，全市建</w:t>
      </w:r>
      <w:r>
        <w:rPr>
          <w:color w:val="231F20"/>
          <w:spacing w:val="8"/>
          <w:sz w:val="29"/>
        </w:rPr>
        <w:t xml:space="preserve">成养老机构 </w:t>
      </w:r>
      <w:r>
        <w:rPr>
          <w:rFonts w:ascii="Times New Roman" w:eastAsia="Times New Roman"/>
          <w:color w:val="231F20"/>
          <w:sz w:val="29"/>
        </w:rPr>
        <w:t>201</w:t>
      </w:r>
      <w:r>
        <w:rPr>
          <w:rFonts w:ascii="Times New Roman" w:eastAsia="Times New Roman"/>
          <w:color w:val="231F20"/>
          <w:spacing w:val="7"/>
          <w:sz w:val="29"/>
        </w:rPr>
        <w:t xml:space="preserve"> </w:t>
      </w:r>
      <w:r>
        <w:rPr>
          <w:color w:val="231F20"/>
          <w:spacing w:val="17"/>
          <w:sz w:val="29"/>
        </w:rPr>
        <w:t xml:space="preserve">家、城乡社区居家养老服务中心 </w:t>
      </w:r>
      <w:r>
        <w:rPr>
          <w:rFonts w:ascii="Times New Roman" w:eastAsia="Times New Roman"/>
          <w:color w:val="231F20"/>
          <w:sz w:val="29"/>
        </w:rPr>
        <w:t>1106</w:t>
      </w:r>
      <w:r>
        <w:rPr>
          <w:rFonts w:ascii="Times New Roman" w:eastAsia="Times New Roman"/>
          <w:color w:val="231F20"/>
          <w:spacing w:val="7"/>
          <w:sz w:val="29"/>
        </w:rPr>
        <w:t xml:space="preserve"> </w:t>
      </w:r>
      <w:r>
        <w:rPr>
          <w:color w:val="231F20"/>
          <w:spacing w:val="-5"/>
          <w:sz w:val="29"/>
        </w:rPr>
        <w:t>家， 共有机</w:t>
      </w:r>
      <w:r>
        <w:rPr>
          <w:color w:val="231F20"/>
          <w:spacing w:val="3"/>
          <w:sz w:val="29"/>
        </w:rPr>
        <w:t xml:space="preserve">构养老床位 </w:t>
      </w:r>
      <w:r>
        <w:rPr>
          <w:rFonts w:ascii="Times New Roman" w:eastAsia="Times New Roman"/>
          <w:color w:val="231F20"/>
          <w:sz w:val="29"/>
        </w:rPr>
        <w:t>3</w:t>
      </w:r>
      <w:r>
        <w:rPr>
          <w:rFonts w:ascii="Times New Roman" w:eastAsia="Times New Roman"/>
          <w:color w:val="231F20"/>
          <w:spacing w:val="0"/>
          <w:sz w:val="29"/>
        </w:rPr>
        <w:t xml:space="preserve"> </w:t>
      </w:r>
      <w:r>
        <w:rPr>
          <w:color w:val="231F20"/>
          <w:spacing w:val="10"/>
          <w:sz w:val="29"/>
        </w:rPr>
        <w:t xml:space="preserve">万余张，市、区县 </w:t>
      </w:r>
      <w:r>
        <w:rPr>
          <w:color w:val="231F20"/>
          <w:spacing w:val="-26"/>
          <w:sz w:val="29"/>
        </w:rPr>
        <w:t>（市</w:t>
      </w:r>
      <w:r>
        <w:rPr>
          <w:color w:val="231F20"/>
          <w:spacing w:val="-84"/>
          <w:sz w:val="29"/>
        </w:rPr>
        <w:t>）</w:t>
      </w:r>
      <w:r>
        <w:rPr>
          <w:color w:val="231F20"/>
          <w:spacing w:val="-1"/>
          <w:sz w:val="29"/>
        </w:rPr>
        <w:t xml:space="preserve">、乡镇 </w:t>
      </w:r>
      <w:r>
        <w:rPr>
          <w:color w:val="231F20"/>
          <w:spacing w:val="-26"/>
          <w:sz w:val="29"/>
        </w:rPr>
        <w:t>（</w:t>
      </w:r>
      <w:r>
        <w:rPr>
          <w:color w:val="231F20"/>
          <w:spacing w:val="-3"/>
          <w:sz w:val="29"/>
        </w:rPr>
        <w:t>街道</w:t>
      </w:r>
      <w:r>
        <w:rPr>
          <w:color w:val="231F20"/>
          <w:spacing w:val="-84"/>
          <w:sz w:val="29"/>
        </w:rPr>
        <w:t>）</w:t>
      </w:r>
      <w:r>
        <w:rPr>
          <w:color w:val="231F20"/>
          <w:spacing w:val="-7"/>
          <w:sz w:val="29"/>
        </w:rPr>
        <w:t xml:space="preserve">、村 </w:t>
      </w:r>
      <w:r>
        <w:rPr>
          <w:color w:val="231F20"/>
          <w:spacing w:val="-26"/>
          <w:sz w:val="29"/>
        </w:rPr>
        <w:t>（</w:t>
      </w:r>
      <w:r>
        <w:rPr>
          <w:color w:val="231F20"/>
          <w:spacing w:val="-3"/>
          <w:sz w:val="29"/>
        </w:rPr>
        <w:t>社区</w:t>
      </w:r>
      <w:r>
        <w:rPr>
          <w:color w:val="231F20"/>
          <w:sz w:val="29"/>
        </w:rPr>
        <w:t xml:space="preserve">） </w:t>
      </w:r>
      <w:r>
        <w:rPr>
          <w:color w:val="231F20"/>
          <w:spacing w:val="21"/>
          <w:sz w:val="29"/>
        </w:rPr>
        <w:t>四级养老服务网络基本形成。市级福利院基础设施明显改善、兜</w:t>
      </w:r>
      <w:r>
        <w:rPr>
          <w:color w:val="231F20"/>
          <w:spacing w:val="16"/>
          <w:sz w:val="29"/>
        </w:rPr>
        <w:t xml:space="preserve">底服务功能更加完善，区县 </w:t>
      </w:r>
      <w:r>
        <w:rPr>
          <w:color w:val="231F20"/>
          <w:spacing w:val="-22"/>
          <w:sz w:val="29"/>
        </w:rPr>
        <w:t>（市</w:t>
      </w:r>
      <w:r>
        <w:rPr>
          <w:color w:val="231F20"/>
          <w:sz w:val="29"/>
        </w:rPr>
        <w:t>）</w:t>
      </w:r>
      <w:r>
        <w:rPr>
          <w:color w:val="231F20"/>
          <w:spacing w:val="12"/>
          <w:sz w:val="29"/>
        </w:rPr>
        <w:t xml:space="preserve"> 社会福利中心建设取得重大突</w:t>
      </w:r>
      <w:r>
        <w:rPr>
          <w:color w:val="231F20"/>
          <w:spacing w:val="16"/>
          <w:sz w:val="29"/>
        </w:rPr>
        <w:t>破， 敬老院硬件设施全面升级， 街道综合养老服务中心、社区</w:t>
      </w:r>
    </w:p>
    <w:p>
      <w:pPr>
        <w:pStyle w:val="2"/>
        <w:spacing w:line="338" w:lineRule="auto"/>
        <w:ind w:left="213" w:right="255" w:hanging="105"/>
        <w:jc w:val="both"/>
      </w:pPr>
      <w:r>
        <w:rPr>
          <w:color w:val="231F20"/>
        </w:rPr>
        <w:t xml:space="preserve">（村） 居家养老服务站建设逐步推进。全市共有开展托育服务的机构 </w:t>
      </w:r>
      <w:r>
        <w:rPr>
          <w:rFonts w:ascii="Times New Roman" w:eastAsia="Times New Roman"/>
          <w:color w:val="231F20"/>
        </w:rPr>
        <w:t xml:space="preserve">504 </w:t>
      </w:r>
      <w:r>
        <w:rPr>
          <w:color w:val="231F20"/>
        </w:rPr>
        <w:t xml:space="preserve">家， 已完成规范登记备案的机构 </w:t>
      </w:r>
      <w:r>
        <w:rPr>
          <w:rFonts w:ascii="Times New Roman" w:eastAsia="Times New Roman"/>
          <w:color w:val="231F20"/>
        </w:rPr>
        <w:t xml:space="preserve">44 </w:t>
      </w:r>
      <w:r>
        <w:rPr>
          <w:color w:val="231F20"/>
        </w:rPr>
        <w:t xml:space="preserve">家， 提供托位 </w:t>
      </w:r>
      <w:r>
        <w:rPr>
          <w:rFonts w:ascii="Times New Roman" w:eastAsia="Times New Roman"/>
          <w:color w:val="231F20"/>
        </w:rPr>
        <w:t xml:space="preserve">2 </w:t>
      </w:r>
      <w:r>
        <w:rPr>
          <w:color w:val="231F20"/>
        </w:rPr>
        <w:t>万个左右。</w:t>
      </w:r>
    </w:p>
    <w:p>
      <w:pPr>
        <w:pStyle w:val="6"/>
        <w:numPr>
          <w:ilvl w:val="0"/>
          <w:numId w:val="1"/>
        </w:numPr>
        <w:tabs>
          <w:tab w:val="left" w:pos="1110"/>
        </w:tabs>
        <w:spacing w:before="40" w:after="0" w:line="338" w:lineRule="auto"/>
        <w:ind w:left="213" w:right="104" w:firstLine="620"/>
        <w:jc w:val="left"/>
        <w:rPr>
          <w:sz w:val="29"/>
        </w:rPr>
      </w:pPr>
      <w:r>
        <w:rPr>
          <w:color w:val="231F20"/>
          <w:spacing w:val="18"/>
          <w:sz w:val="29"/>
        </w:rPr>
        <w:t xml:space="preserve">养老托育服务成效较为显著。养老服务品牌建设明显加强， </w:t>
      </w:r>
      <w:r>
        <w:rPr>
          <w:color w:val="231F20"/>
          <w:spacing w:val="21"/>
          <w:sz w:val="29"/>
        </w:rPr>
        <w:t xml:space="preserve">推动居家、社区和机构养老融合发展，支持养老机构运营社区居 </w:t>
      </w:r>
      <w:r>
        <w:rPr>
          <w:color w:val="231F20"/>
          <w:spacing w:val="15"/>
          <w:sz w:val="29"/>
        </w:rPr>
        <w:t xml:space="preserve">家养老服务设施，涌现了一批全省乃至全国知名的养老服务品牌， </w:t>
      </w:r>
      <w:r>
        <w:rPr>
          <w:color w:val="231F20"/>
          <w:spacing w:val="21"/>
          <w:sz w:val="29"/>
        </w:rPr>
        <w:t>养老服务供给能力明显提升。探索开展老年人助餐配餐、辅助器具社区租赁服务试点，实施城区困难老年人居家适老化改造。全</w:t>
      </w:r>
    </w:p>
    <w:p>
      <w:pPr>
        <w:spacing w:after="0" w:line="338" w:lineRule="auto"/>
        <w:jc w:val="left"/>
        <w:rPr>
          <w:sz w:val="29"/>
        </w:rPr>
        <w:sectPr>
          <w:pgSz w:w="11910" w:h="16840"/>
          <w:pgMar w:top="1580" w:right="1220" w:bottom="1940" w:left="1320" w:header="0" w:footer="1755" w:gutter="0"/>
          <w:cols w:space="720" w:num="1"/>
        </w:sectPr>
      </w:pPr>
    </w:p>
    <w:p>
      <w:pPr>
        <w:pStyle w:val="2"/>
        <w:spacing w:before="9"/>
        <w:rPr>
          <w:sz w:val="7"/>
        </w:rPr>
      </w:pPr>
    </w:p>
    <w:p>
      <w:pPr>
        <w:pStyle w:val="2"/>
        <w:spacing w:before="3" w:line="338" w:lineRule="auto"/>
        <w:ind w:left="117" w:right="183"/>
      </w:pPr>
      <w:r>
        <w:rPr>
          <w:color w:val="231F20"/>
        </w:rPr>
        <w:t>市首批示范性托育机构评选工作已完成，确定湖南省人民政府直属机关第二幼儿院等</w:t>
      </w:r>
      <w:r>
        <w:rPr>
          <w:rFonts w:ascii="Times New Roman" w:eastAsia="Times New Roman"/>
          <w:color w:val="231F20"/>
        </w:rPr>
        <w:t xml:space="preserve">11  </w:t>
      </w:r>
      <w:r>
        <w:rPr>
          <w:color w:val="231F20"/>
        </w:rPr>
        <w:t>家机构为第一批示范性托育机构。</w:t>
      </w:r>
    </w:p>
    <w:p>
      <w:pPr>
        <w:pStyle w:val="2"/>
        <w:spacing w:before="48"/>
        <w:ind w:left="632"/>
        <w:rPr>
          <w:rFonts w:hint="eastAsia" w:ascii="方正楷体_GBK" w:eastAsia="方正楷体_GBK"/>
        </w:rPr>
      </w:pPr>
      <w:r>
        <w:rPr>
          <w:rFonts w:hint="eastAsia" w:ascii="方正楷体_GBK" w:eastAsia="方正楷体_GBK"/>
          <w:color w:val="231F20"/>
        </w:rPr>
        <w:t>（二） 面临的挑战及发展趋势</w:t>
      </w:r>
    </w:p>
    <w:p>
      <w:pPr>
        <w:pStyle w:val="6"/>
        <w:numPr>
          <w:ilvl w:val="0"/>
          <w:numId w:val="2"/>
        </w:numPr>
        <w:tabs>
          <w:tab w:val="left" w:pos="1020"/>
        </w:tabs>
        <w:spacing w:before="175" w:after="0" w:line="338" w:lineRule="auto"/>
        <w:ind w:left="117" w:right="102" w:firstLine="619"/>
        <w:jc w:val="left"/>
        <w:rPr>
          <w:sz w:val="29"/>
        </w:rPr>
      </w:pPr>
      <w:r>
        <w:rPr>
          <w:color w:val="231F20"/>
          <w:spacing w:val="23"/>
          <w:sz w:val="29"/>
        </w:rPr>
        <w:t>人口老龄化、生育意愿下降带来新的挑战。全市老年人口</w:t>
      </w:r>
      <w:r>
        <w:rPr>
          <w:color w:val="231F20"/>
          <w:spacing w:val="21"/>
          <w:sz w:val="29"/>
        </w:rPr>
        <w:t xml:space="preserve">结构正由低龄化向中高龄快速推进，用于老年人的社会保障支出将持续增长，老年群体及高龄、空巢、失能失智老人的照护服务 </w:t>
      </w:r>
      <w:r>
        <w:rPr>
          <w:color w:val="231F20"/>
          <w:spacing w:val="15"/>
          <w:sz w:val="29"/>
        </w:rPr>
        <w:t>供需矛盾日趋突出。全市养老照护机构存在结构性矛盾，护理型、医养结合型养老机构仍需加快建设。同时，由于生育养育成本高、</w:t>
      </w:r>
      <w:r>
        <w:rPr>
          <w:color w:val="231F20"/>
          <w:spacing w:val="21"/>
          <w:sz w:val="29"/>
        </w:rPr>
        <w:t>家庭事业难兼顾、婚育年龄推迟等原因，全市人口出生率快速回</w:t>
      </w:r>
      <w:r>
        <w:rPr>
          <w:color w:val="231F20"/>
          <w:spacing w:val="33"/>
          <w:sz w:val="29"/>
        </w:rPr>
        <w:t xml:space="preserve">落， 户籍人口自然增长率从 </w:t>
      </w:r>
      <w:r>
        <w:rPr>
          <w:rFonts w:ascii="Times New Roman" w:hAnsi="Times New Roman" w:eastAsia="Times New Roman"/>
          <w:color w:val="231F20"/>
          <w:sz w:val="29"/>
        </w:rPr>
        <w:t>2016</w:t>
      </w:r>
      <w:r>
        <w:rPr>
          <w:rFonts w:ascii="Times New Roman" w:hAnsi="Times New Roman" w:eastAsia="Times New Roman"/>
          <w:color w:val="231F20"/>
          <w:spacing w:val="43"/>
          <w:sz w:val="29"/>
        </w:rPr>
        <w:t xml:space="preserve"> </w:t>
      </w:r>
      <w:r>
        <w:rPr>
          <w:color w:val="231F20"/>
          <w:spacing w:val="15"/>
          <w:sz w:val="29"/>
        </w:rPr>
        <w:t xml:space="preserve">年的 </w:t>
      </w:r>
      <w:r>
        <w:rPr>
          <w:rFonts w:ascii="Times New Roman" w:hAnsi="Times New Roman" w:eastAsia="Times New Roman"/>
          <w:color w:val="231F20"/>
          <w:sz w:val="29"/>
        </w:rPr>
        <w:t>10.63</w:t>
      </w:r>
      <w:r>
        <w:rPr>
          <w:rFonts w:ascii="Times New Roman" w:hAnsi="Times New Roman" w:eastAsia="Times New Roman"/>
          <w:color w:val="231F20"/>
          <w:spacing w:val="22"/>
          <w:sz w:val="29"/>
        </w:rPr>
        <w:t xml:space="preserve">‰ </w:t>
      </w:r>
      <w:r>
        <w:rPr>
          <w:color w:val="231F20"/>
          <w:spacing w:val="15"/>
          <w:sz w:val="29"/>
        </w:rPr>
        <w:t xml:space="preserve">降至 </w:t>
      </w:r>
      <w:r>
        <w:rPr>
          <w:rFonts w:ascii="Times New Roman" w:hAnsi="Times New Roman" w:eastAsia="Times New Roman"/>
          <w:color w:val="231F20"/>
          <w:sz w:val="29"/>
        </w:rPr>
        <w:t>2021</w:t>
      </w:r>
      <w:r>
        <w:rPr>
          <w:rFonts w:ascii="Times New Roman" w:hAnsi="Times New Roman" w:eastAsia="Times New Roman"/>
          <w:color w:val="231F20"/>
          <w:spacing w:val="43"/>
          <w:sz w:val="29"/>
        </w:rPr>
        <w:t xml:space="preserve"> </w:t>
      </w:r>
      <w:r>
        <w:rPr>
          <w:color w:val="231F20"/>
          <w:spacing w:val="30"/>
          <w:sz w:val="29"/>
        </w:rPr>
        <w:t>年的</w:t>
      </w:r>
    </w:p>
    <w:p>
      <w:pPr>
        <w:pStyle w:val="2"/>
        <w:spacing w:before="39" w:line="338" w:lineRule="auto"/>
        <w:ind w:left="117" w:right="101"/>
      </w:pPr>
      <w:r>
        <w:rPr>
          <w:rFonts w:ascii="Times New Roman" w:hAnsi="Times New Roman" w:eastAsia="Times New Roman"/>
          <w:color w:val="231F20"/>
          <w:spacing w:val="5"/>
        </w:rPr>
        <w:t>0.08‰</w:t>
      </w:r>
      <w:r>
        <w:rPr>
          <w:color w:val="231F20"/>
          <w:spacing w:val="10"/>
        </w:rPr>
        <w:t xml:space="preserve">，人口长期均衡发展面临较为严峻的风险和挑战。目前，全 </w:t>
      </w:r>
      <w:r>
        <w:rPr>
          <w:color w:val="231F20"/>
          <w:spacing w:val="21"/>
        </w:rPr>
        <w:t xml:space="preserve">市婴幼儿照护服务管理基础较为薄弱，还存在诸多需完善提升的方面，如部门间配合协调形成合力不够，基层管理服务能力急需培训提升；公办托育机构作为必要补充但目前数量稀少，老旧小区托育设施改扩建难度大，托育机构场地设施不达标，分布不平衡；托育机构抗风险能力弱，品质高、价格亲民、能让家长认可 </w:t>
      </w:r>
      <w:r>
        <w:rPr>
          <w:color w:val="231F20"/>
          <w:spacing w:val="15"/>
        </w:rPr>
        <w:t xml:space="preserve">放心的机构不多；家庭科学育儿指导专业服务机构和队伍不健全， </w:t>
      </w:r>
      <w:r>
        <w:rPr>
          <w:color w:val="231F20"/>
          <w:spacing w:val="11"/>
        </w:rPr>
        <w:t>服务水平不高、覆盖面不广、城乡差距较大。</w:t>
      </w:r>
    </w:p>
    <w:p>
      <w:pPr>
        <w:pStyle w:val="6"/>
        <w:numPr>
          <w:ilvl w:val="0"/>
          <w:numId w:val="2"/>
        </w:numPr>
        <w:tabs>
          <w:tab w:val="left" w:pos="1020"/>
        </w:tabs>
        <w:spacing w:before="40" w:after="0" w:line="338" w:lineRule="auto"/>
        <w:ind w:left="117" w:right="251" w:firstLine="619"/>
        <w:jc w:val="both"/>
        <w:rPr>
          <w:sz w:val="29"/>
        </w:rPr>
      </w:pPr>
      <w:r>
        <w:rPr>
          <w:color w:val="231F20"/>
          <w:spacing w:val="23"/>
          <w:sz w:val="29"/>
        </w:rPr>
        <w:t>养老托育服务上升为国家战略。党中央高度重视养老和托</w:t>
      </w:r>
      <w:r>
        <w:rPr>
          <w:color w:val="231F20"/>
          <w:spacing w:val="21"/>
          <w:sz w:val="29"/>
        </w:rPr>
        <w:t>育服务工作，将积极应对人口老龄化上升为国家战略，为加快构建居家社区机构相协调、医养康养相结合的养老服务体系提供了</w:t>
      </w:r>
      <w:r>
        <w:rPr>
          <w:color w:val="231F20"/>
          <w:spacing w:val="2"/>
          <w:sz w:val="29"/>
        </w:rPr>
        <w:t>根本遵循和行动指南。《中共中央关于制定国民经济和社会发展第</w:t>
      </w:r>
    </w:p>
    <w:p>
      <w:pPr>
        <w:spacing w:after="0" w:line="338" w:lineRule="auto"/>
        <w:jc w:val="both"/>
        <w:rPr>
          <w:sz w:val="29"/>
        </w:rPr>
        <w:sectPr>
          <w:pgSz w:w="11910" w:h="16840"/>
          <w:pgMar w:top="1580" w:right="1280" w:bottom="1940" w:left="1360" w:header="0" w:footer="1755" w:gutter="0"/>
          <w:cols w:space="720" w:num="1"/>
        </w:sectPr>
      </w:pPr>
    </w:p>
    <w:p>
      <w:pPr>
        <w:pStyle w:val="2"/>
        <w:spacing w:before="0" w:line="743" w:lineRule="exact"/>
        <w:ind w:left="113"/>
      </w:pPr>
      <w:r>
        <w:rPr>
          <w:color w:val="231F20"/>
        </w:rPr>
        <w:t>十四个五年规划和二</w:t>
      </w:r>
      <w:r>
        <w:rPr>
          <w:rFonts w:ascii="NEU-BZ" w:hAnsi="NEU-BZ" w:eastAsia="NEU-BZ"/>
          <w:color w:val="231F20"/>
        </w:rPr>
        <w:t>○</w:t>
      </w:r>
      <w:r>
        <w:rPr>
          <w:color w:val="231F20"/>
        </w:rPr>
        <w:t>三五年远景目标的建议》 提出“实施积极</w:t>
      </w:r>
    </w:p>
    <w:p>
      <w:pPr>
        <w:pStyle w:val="2"/>
        <w:spacing w:before="0" w:line="399" w:lineRule="exact"/>
        <w:ind w:left="113"/>
      </w:pPr>
      <w:r>
        <w:rPr>
          <w:color w:val="231F20"/>
          <w:spacing w:val="3"/>
          <w:w w:val="101"/>
        </w:rPr>
        <w:t>应对人口老龄化国家战略”，明确“推动养老事业和养老产业协同</w:t>
      </w:r>
    </w:p>
    <w:p>
      <w:pPr>
        <w:pStyle w:val="2"/>
        <w:spacing w:before="173" w:line="338" w:lineRule="auto"/>
        <w:ind w:left="113" w:right="183"/>
      </w:pPr>
      <w:r>
        <w:rPr>
          <w:color w:val="231F20"/>
        </w:rPr>
        <w:t>发展，健全基本养老服务体系，发展普惠型养老服务和互助性养</w:t>
      </w:r>
      <w:r>
        <w:rPr>
          <w:color w:val="231F20"/>
          <w:w w:val="101"/>
        </w:rPr>
        <w:t>老”“发展普惠托育服务体系”。</w:t>
      </w:r>
    </w:p>
    <w:p>
      <w:pPr>
        <w:pStyle w:val="6"/>
        <w:numPr>
          <w:ilvl w:val="0"/>
          <w:numId w:val="2"/>
        </w:numPr>
        <w:tabs>
          <w:tab w:val="left" w:pos="1007"/>
        </w:tabs>
        <w:spacing w:before="39" w:after="0" w:line="240" w:lineRule="auto"/>
        <w:ind w:left="1006" w:right="0" w:hanging="273"/>
        <w:jc w:val="left"/>
        <w:rPr>
          <w:rFonts w:ascii="Times New Roman" w:eastAsia="Times New Roman"/>
          <w:sz w:val="29"/>
        </w:rPr>
      </w:pPr>
      <w:r>
        <w:rPr>
          <w:color w:val="231F20"/>
          <w:spacing w:val="6"/>
          <w:sz w:val="29"/>
        </w:rPr>
        <w:t>新需求带来新的发展机遇。</w:t>
      </w:r>
      <w:r>
        <w:rPr>
          <w:rFonts w:ascii="Times New Roman" w:eastAsia="Times New Roman"/>
          <w:color w:val="231F20"/>
          <w:sz w:val="29"/>
        </w:rPr>
        <w:t>2021</w:t>
      </w:r>
      <w:r>
        <w:rPr>
          <w:rFonts w:ascii="Times New Roman" w:eastAsia="Times New Roman"/>
          <w:color w:val="231F20"/>
          <w:spacing w:val="22"/>
          <w:sz w:val="29"/>
        </w:rPr>
        <w:t xml:space="preserve">  </w:t>
      </w:r>
      <w:r>
        <w:rPr>
          <w:color w:val="231F20"/>
          <w:spacing w:val="10"/>
          <w:sz w:val="29"/>
        </w:rPr>
        <w:t>年底，我市常住人口</w:t>
      </w:r>
      <w:r>
        <w:rPr>
          <w:rFonts w:ascii="Times New Roman" w:eastAsia="Times New Roman"/>
          <w:color w:val="231F20"/>
          <w:sz w:val="29"/>
        </w:rPr>
        <w:t>1023.93</w:t>
      </w:r>
    </w:p>
    <w:p>
      <w:pPr>
        <w:pStyle w:val="2"/>
        <w:spacing w:before="173"/>
        <w:ind w:left="113"/>
      </w:pPr>
      <w:r>
        <w:rPr>
          <w:color w:val="231F20"/>
        </w:rPr>
        <w:t xml:space="preserve">万人， 其中 </w:t>
      </w:r>
      <w:r>
        <w:rPr>
          <w:rFonts w:ascii="Times New Roman" w:eastAsia="Times New Roman"/>
          <w:color w:val="231F20"/>
        </w:rPr>
        <w:t xml:space="preserve">60 </w:t>
      </w:r>
      <w:r>
        <w:rPr>
          <w:color w:val="231F20"/>
        </w:rPr>
        <w:t xml:space="preserve">岁以上老年人口 </w:t>
      </w:r>
      <w:r>
        <w:rPr>
          <w:rFonts w:ascii="Times New Roman" w:eastAsia="Times New Roman"/>
          <w:color w:val="231F20"/>
        </w:rPr>
        <w:t xml:space="preserve">153.98 </w:t>
      </w:r>
      <w:r>
        <w:rPr>
          <w:color w:val="231F20"/>
        </w:rPr>
        <w:t xml:space="preserve">万人， 占比 </w:t>
      </w:r>
      <w:r>
        <w:rPr>
          <w:rFonts w:ascii="Times New Roman" w:eastAsia="Times New Roman"/>
          <w:color w:val="231F20"/>
        </w:rPr>
        <w:t>15.04%</w:t>
      </w:r>
      <w:r>
        <w:rPr>
          <w:color w:val="231F20"/>
        </w:rPr>
        <w:t>； 全市</w:t>
      </w:r>
    </w:p>
    <w:p>
      <w:pPr>
        <w:pStyle w:val="2"/>
        <w:spacing w:before="173" w:line="338" w:lineRule="auto"/>
        <w:ind w:left="113" w:right="183"/>
      </w:pPr>
      <w:r>
        <w:rPr>
          <w:rFonts w:ascii="Times New Roman" w:eastAsia="Times New Roman"/>
          <w:color w:val="231F20"/>
        </w:rPr>
        <w:t>0</w:t>
      </w:r>
      <w:r>
        <w:rPr>
          <w:color w:val="231F20"/>
        </w:rPr>
        <w:t>～</w:t>
      </w:r>
      <w:r>
        <w:rPr>
          <w:rFonts w:ascii="Times New Roman" w:eastAsia="Times New Roman"/>
          <w:color w:val="231F20"/>
        </w:rPr>
        <w:t xml:space="preserve">3 </w:t>
      </w:r>
      <w:r>
        <w:rPr>
          <w:color w:val="231F20"/>
        </w:rPr>
        <w:t xml:space="preserve">岁婴幼儿 </w:t>
      </w:r>
      <w:r>
        <w:rPr>
          <w:rFonts w:ascii="Times New Roman" w:eastAsia="Times New Roman"/>
          <w:color w:val="231F20"/>
        </w:rPr>
        <w:t xml:space="preserve">19.2 </w:t>
      </w:r>
      <w:r>
        <w:rPr>
          <w:color w:val="231F20"/>
        </w:rPr>
        <w:t xml:space="preserve">万人，入托婴幼儿 </w:t>
      </w:r>
      <w:r>
        <w:rPr>
          <w:rFonts w:ascii="Times New Roman" w:eastAsia="Times New Roman"/>
          <w:color w:val="231F20"/>
        </w:rPr>
        <w:t xml:space="preserve">0.94 </w:t>
      </w:r>
      <w:r>
        <w:rPr>
          <w:color w:val="231F20"/>
        </w:rPr>
        <w:t xml:space="preserve">万人，入托率 </w:t>
      </w:r>
      <w:r>
        <w:rPr>
          <w:rFonts w:ascii="Times New Roman" w:eastAsia="Times New Roman"/>
          <w:color w:val="231F20"/>
        </w:rPr>
        <w:t>4.89%</w:t>
      </w:r>
      <w:r>
        <w:rPr>
          <w:color w:val="231F20"/>
        </w:rPr>
        <w:t xml:space="preserve">。预计到 </w:t>
      </w:r>
      <w:r>
        <w:rPr>
          <w:rFonts w:ascii="Times New Roman" w:eastAsia="Times New Roman"/>
          <w:color w:val="231F20"/>
        </w:rPr>
        <w:t xml:space="preserve">2025 </w:t>
      </w:r>
      <w:r>
        <w:rPr>
          <w:color w:val="231F20"/>
        </w:rPr>
        <w:t xml:space="preserve">年，全市常住人口总量达到 </w:t>
      </w:r>
      <w:r>
        <w:rPr>
          <w:rFonts w:ascii="Times New Roman" w:eastAsia="Times New Roman"/>
          <w:color w:val="231F20"/>
        </w:rPr>
        <w:t xml:space="preserve">1200 </w:t>
      </w:r>
      <w:r>
        <w:rPr>
          <w:color w:val="231F20"/>
        </w:rPr>
        <w:t>万人左右，常住人口老</w:t>
      </w:r>
    </w:p>
    <w:p>
      <w:pPr>
        <w:pStyle w:val="2"/>
        <w:spacing w:before="38"/>
        <w:ind w:left="113"/>
      </w:pPr>
      <w:r>
        <w:rPr>
          <w:color w:val="231F20"/>
        </w:rPr>
        <w:t xml:space="preserve">龄化率控制在 </w:t>
      </w:r>
      <w:r>
        <w:rPr>
          <w:rFonts w:ascii="Times New Roman" w:eastAsia="Times New Roman"/>
          <w:color w:val="231F20"/>
        </w:rPr>
        <w:t xml:space="preserve">18% </w:t>
      </w:r>
      <w:r>
        <w:rPr>
          <w:color w:val="231F20"/>
        </w:rPr>
        <w:t xml:space="preserve">以内，每千人口拥有 </w:t>
      </w:r>
      <w:r>
        <w:rPr>
          <w:rFonts w:ascii="Times New Roman" w:eastAsia="Times New Roman"/>
          <w:color w:val="231F20"/>
        </w:rPr>
        <w:t xml:space="preserve">3 </w:t>
      </w:r>
      <w:r>
        <w:rPr>
          <w:color w:val="231F20"/>
        </w:rPr>
        <w:t>岁以下婴幼儿托位数达到</w:t>
      </w:r>
    </w:p>
    <w:p>
      <w:pPr>
        <w:pStyle w:val="6"/>
        <w:numPr>
          <w:ilvl w:val="1"/>
          <w:numId w:val="3"/>
        </w:numPr>
        <w:tabs>
          <w:tab w:val="left" w:pos="547"/>
        </w:tabs>
        <w:spacing w:before="173" w:after="0" w:line="338" w:lineRule="auto"/>
        <w:ind w:left="113" w:right="104" w:firstLine="0"/>
        <w:jc w:val="left"/>
        <w:rPr>
          <w:sz w:val="29"/>
        </w:rPr>
      </w:pPr>
      <w:r>
        <w:rPr>
          <w:color w:val="231F20"/>
          <w:spacing w:val="15"/>
          <w:sz w:val="29"/>
        </w:rPr>
        <w:t xml:space="preserve">个。随着老年人口数量的增加， 高龄老年人口数量同步增长， </w:t>
      </w:r>
      <w:r>
        <w:rPr>
          <w:color w:val="231F20"/>
          <w:spacing w:val="21"/>
          <w:sz w:val="29"/>
        </w:rPr>
        <w:t>全社会对于生活照料、康复护理、长期照护、老年医疗等专业化养老服务需求持续增加；老年消费市场同步扩大，促进老年产品</w:t>
      </w:r>
      <w:r>
        <w:rPr>
          <w:color w:val="231F20"/>
          <w:spacing w:val="11"/>
          <w:sz w:val="29"/>
        </w:rPr>
        <w:t xml:space="preserve">和服务消费， 壮大银发经济， 发展养老保险和丰富商业保险等， </w:t>
      </w:r>
      <w:r>
        <w:rPr>
          <w:color w:val="231F20"/>
          <w:spacing w:val="21"/>
          <w:sz w:val="29"/>
        </w:rPr>
        <w:t xml:space="preserve">成为经济发展的新动能。随着托育服务设施建设、托育机构登记备案管理、托育机构综合安全监管、托育人才队伍培养等工作全 </w:t>
      </w:r>
      <w:r>
        <w:rPr>
          <w:color w:val="231F20"/>
          <w:sz w:val="29"/>
        </w:rPr>
        <w:t xml:space="preserve">面启动，为 </w:t>
      </w:r>
      <w:r>
        <w:rPr>
          <w:rFonts w:ascii="Times New Roman" w:eastAsia="Times New Roman"/>
          <w:color w:val="231F20"/>
          <w:sz w:val="29"/>
        </w:rPr>
        <w:t>3</w:t>
      </w:r>
      <w:r>
        <w:rPr>
          <w:rFonts w:ascii="Times New Roman" w:eastAsia="Times New Roman"/>
          <w:color w:val="231F20"/>
          <w:spacing w:val="-4"/>
          <w:sz w:val="29"/>
        </w:rPr>
        <w:t xml:space="preserve"> </w:t>
      </w:r>
      <w:r>
        <w:rPr>
          <w:color w:val="231F20"/>
          <w:spacing w:val="13"/>
          <w:sz w:val="29"/>
        </w:rPr>
        <w:t>岁以下婴幼儿提供的照料、看护、膳食、保育等服务</w:t>
      </w:r>
      <w:r>
        <w:rPr>
          <w:color w:val="231F20"/>
          <w:spacing w:val="11"/>
          <w:sz w:val="29"/>
        </w:rPr>
        <w:t>的托育行业将迎来发展机遇期。</w:t>
      </w:r>
    </w:p>
    <w:p>
      <w:pPr>
        <w:pStyle w:val="2"/>
        <w:spacing w:before="35"/>
        <w:ind w:left="733"/>
        <w:rPr>
          <w:rFonts w:hint="eastAsia" w:ascii="方正黑体_GBK" w:eastAsia="方正黑体_GBK"/>
        </w:rPr>
      </w:pPr>
      <w:r>
        <w:rPr>
          <w:rFonts w:hint="eastAsia" w:ascii="方正黑体_GBK" w:eastAsia="方正黑体_GBK"/>
          <w:color w:val="231F20"/>
        </w:rPr>
        <w:t>二、发展目标</w:t>
      </w:r>
    </w:p>
    <w:p>
      <w:pPr>
        <w:pStyle w:val="2"/>
        <w:spacing w:before="182"/>
        <w:ind w:left="606" w:right="6512"/>
        <w:jc w:val="center"/>
        <w:rPr>
          <w:rFonts w:hint="eastAsia" w:ascii="方正楷体_GBK" w:eastAsia="方正楷体_GBK"/>
        </w:rPr>
      </w:pPr>
      <w:r>
        <w:rPr>
          <w:rFonts w:hint="eastAsia" w:ascii="方正楷体_GBK" w:eastAsia="方正楷体_GBK"/>
          <w:color w:val="231F20"/>
        </w:rPr>
        <w:t>（一） 整体目标</w:t>
      </w:r>
    </w:p>
    <w:p>
      <w:pPr>
        <w:pStyle w:val="2"/>
        <w:spacing w:before="174" w:line="338" w:lineRule="auto"/>
        <w:ind w:left="113" w:right="255" w:firstLine="469"/>
        <w:jc w:val="both"/>
      </w:pPr>
      <w:r>
        <w:rPr>
          <w:color w:val="231F20"/>
        </w:rPr>
        <w:t>“十四五”时期，长沙将以“三高四新”战略定位和使命任务为引领，积极创建国家中心城市，加快建设全龄友好城市，老有颐养、幼有善育、功能完善、规模适度、覆盖城乡的养老托育服</w:t>
      </w:r>
    </w:p>
    <w:p>
      <w:pPr>
        <w:spacing w:after="0" w:line="338" w:lineRule="auto"/>
        <w:jc w:val="both"/>
        <w:sectPr>
          <w:pgSz w:w="11910" w:h="16840"/>
          <w:pgMar w:top="1580" w:right="1220" w:bottom="1940" w:left="1420" w:header="0" w:footer="1755" w:gutter="0"/>
          <w:cols w:space="720" w:num="1"/>
        </w:sectPr>
      </w:pPr>
    </w:p>
    <w:p>
      <w:pPr>
        <w:pStyle w:val="2"/>
        <w:spacing w:before="9"/>
        <w:rPr>
          <w:sz w:val="7"/>
        </w:rPr>
      </w:pPr>
    </w:p>
    <w:p>
      <w:pPr>
        <w:pStyle w:val="2"/>
        <w:spacing w:before="3" w:line="338" w:lineRule="auto"/>
        <w:ind w:left="117" w:right="251"/>
        <w:jc w:val="both"/>
      </w:pPr>
      <w:r>
        <w:rPr>
          <w:color w:val="231F20"/>
        </w:rPr>
        <w:t xml:space="preserve">务体系基本建成，服务供给更加便利可及，服务新模式新业态不断涌现，人民群众多样化、多层次养老托育照护服务需求得到进一步满足。到 </w:t>
      </w:r>
      <w:r>
        <w:rPr>
          <w:rFonts w:ascii="Times New Roman" w:eastAsia="Times New Roman"/>
          <w:color w:val="231F20"/>
        </w:rPr>
        <w:t xml:space="preserve">2025 </w:t>
      </w:r>
      <w:r>
        <w:rPr>
          <w:color w:val="231F20"/>
        </w:rPr>
        <w:t xml:space="preserve">年，新增护理型床位 </w:t>
      </w:r>
      <w:r>
        <w:rPr>
          <w:rFonts w:ascii="Times New Roman" w:eastAsia="Times New Roman"/>
          <w:color w:val="231F20"/>
        </w:rPr>
        <w:t xml:space="preserve">0.5 </w:t>
      </w:r>
      <w:r>
        <w:rPr>
          <w:color w:val="231F20"/>
        </w:rPr>
        <w:t xml:space="preserve">万张、托位 </w:t>
      </w:r>
      <w:r>
        <w:rPr>
          <w:rFonts w:ascii="Times New Roman" w:eastAsia="Times New Roman"/>
          <w:color w:val="231F20"/>
        </w:rPr>
        <w:t xml:space="preserve">3 </w:t>
      </w:r>
      <w:r>
        <w:rPr>
          <w:color w:val="231F20"/>
        </w:rPr>
        <w:t>万个，实</w:t>
      </w:r>
    </w:p>
    <w:p>
      <w:pPr>
        <w:pStyle w:val="2"/>
        <w:spacing w:before="39" w:line="338" w:lineRule="auto"/>
        <w:ind w:left="117" w:right="251"/>
        <w:jc w:val="both"/>
      </w:pPr>
      <w:r>
        <w:rPr>
          <w:color w:val="231F20"/>
        </w:rPr>
        <w:t xml:space="preserve">现家庭科学养育指导到位率 </w:t>
      </w:r>
      <w:r>
        <w:rPr>
          <w:rFonts w:ascii="Times New Roman" w:eastAsia="Times New Roman"/>
          <w:color w:val="231F20"/>
        </w:rPr>
        <w:t xml:space="preserve">80% </w:t>
      </w:r>
      <w:r>
        <w:rPr>
          <w:color w:val="231F20"/>
        </w:rPr>
        <w:t xml:space="preserve">以上，形成居家养老、托育 </w:t>
      </w:r>
      <w:r>
        <w:rPr>
          <w:rFonts w:ascii="Times New Roman" w:eastAsia="Times New Roman"/>
          <w:color w:val="231F20"/>
        </w:rPr>
        <w:t xml:space="preserve">15 </w:t>
      </w:r>
      <w:r>
        <w:rPr>
          <w:color w:val="231F20"/>
        </w:rPr>
        <w:t>分钟服务圈。</w:t>
      </w:r>
    </w:p>
    <w:p>
      <w:pPr>
        <w:pStyle w:val="2"/>
        <w:spacing w:line="338" w:lineRule="auto"/>
        <w:ind w:left="117" w:right="248" w:firstLine="619"/>
        <w:jc w:val="both"/>
      </w:pPr>
      <w:r>
        <w:rPr>
          <w:color w:val="231F20"/>
          <w:spacing w:val="1"/>
        </w:rPr>
        <w:t xml:space="preserve">——兜底线发展目标。到 </w:t>
      </w:r>
      <w:r>
        <w:rPr>
          <w:rFonts w:ascii="Times New Roman" w:hAnsi="Times New Roman" w:eastAsia="Times New Roman"/>
          <w:color w:val="231F20"/>
        </w:rPr>
        <w:t xml:space="preserve">2025 </w:t>
      </w:r>
      <w:r>
        <w:rPr>
          <w:color w:val="231F20"/>
          <w:spacing w:val="3"/>
        </w:rPr>
        <w:t xml:space="preserve">年，每个区县 </w:t>
      </w:r>
      <w:r>
        <w:rPr>
          <w:color w:val="231F20"/>
          <w:spacing w:val="-31"/>
        </w:rPr>
        <w:t>（市</w:t>
      </w:r>
      <w:r>
        <w:rPr>
          <w:color w:val="231F20"/>
        </w:rPr>
        <w:t>）</w:t>
      </w:r>
      <w:r>
        <w:rPr>
          <w:color w:val="231F20"/>
          <w:spacing w:val="-9"/>
        </w:rPr>
        <w:t xml:space="preserve"> 建成运营 </w:t>
      </w:r>
      <w:r>
        <w:rPr>
          <w:rFonts w:ascii="Times New Roman" w:hAnsi="Times New Roman" w:eastAsia="Times New Roman"/>
          <w:color w:val="231F20"/>
        </w:rPr>
        <w:t xml:space="preserve">1 </w:t>
      </w:r>
      <w:r>
        <w:rPr>
          <w:color w:val="231F20"/>
          <w:spacing w:val="-27"/>
        </w:rPr>
        <w:t xml:space="preserve">所 </w:t>
      </w:r>
      <w:r>
        <w:rPr>
          <w:rFonts w:ascii="Times New Roman" w:hAnsi="Times New Roman" w:eastAsia="Times New Roman"/>
          <w:color w:val="231F20"/>
        </w:rPr>
        <w:t xml:space="preserve">300 </w:t>
      </w:r>
      <w:r>
        <w:rPr>
          <w:color w:val="231F20"/>
          <w:spacing w:val="6"/>
        </w:rPr>
        <w:t xml:space="preserve">张床位以上的区县 </w:t>
      </w:r>
      <w:r>
        <w:rPr>
          <w:color w:val="231F20"/>
          <w:spacing w:val="-27"/>
        </w:rPr>
        <w:t>（市</w:t>
      </w:r>
      <w:r>
        <w:rPr>
          <w:color w:val="231F20"/>
        </w:rPr>
        <w:t>）</w:t>
      </w:r>
      <w:r>
        <w:rPr>
          <w:color w:val="231F20"/>
          <w:spacing w:val="1"/>
        </w:rPr>
        <w:t xml:space="preserve"> 社会福利中心，每个街道建成 </w:t>
      </w:r>
      <w:r>
        <w:rPr>
          <w:rFonts w:ascii="Times New Roman" w:hAnsi="Times New Roman" w:eastAsia="Times New Roman"/>
          <w:color w:val="231F20"/>
        </w:rPr>
        <w:t xml:space="preserve">1 </w:t>
      </w:r>
      <w:r>
        <w:rPr>
          <w:color w:val="231F20"/>
        </w:rPr>
        <w:t>所</w:t>
      </w:r>
      <w:r>
        <w:rPr>
          <w:color w:val="231F20"/>
          <w:spacing w:val="21"/>
        </w:rPr>
        <w:t>街道综合养老服务中心，乡镇敬老院全部转型为乡镇综合养老服</w:t>
      </w:r>
      <w:r>
        <w:rPr>
          <w:color w:val="231F20"/>
          <w:spacing w:val="10"/>
        </w:rPr>
        <w:t xml:space="preserve">务中心，每个建制村至少建成运营 </w:t>
      </w:r>
      <w:r>
        <w:rPr>
          <w:rFonts w:ascii="Times New Roman" w:hAnsi="Times New Roman" w:eastAsia="Times New Roman"/>
          <w:color w:val="231F20"/>
        </w:rPr>
        <w:t xml:space="preserve">1 </w:t>
      </w:r>
      <w:r>
        <w:rPr>
          <w:color w:val="231F20"/>
          <w:spacing w:val="7"/>
        </w:rPr>
        <w:t xml:space="preserve">个建筑面积不低于 </w:t>
      </w:r>
      <w:r>
        <w:rPr>
          <w:rFonts w:ascii="Times New Roman" w:hAnsi="Times New Roman" w:eastAsia="Times New Roman"/>
          <w:color w:val="231F20"/>
        </w:rPr>
        <w:t xml:space="preserve">200 </w:t>
      </w:r>
      <w:r>
        <w:rPr>
          <w:color w:val="231F20"/>
          <w:spacing w:val="10"/>
        </w:rPr>
        <w:t>平方米</w:t>
      </w:r>
    </w:p>
    <w:p>
      <w:pPr>
        <w:pStyle w:val="2"/>
        <w:spacing w:before="39"/>
        <w:ind w:left="117"/>
        <w:jc w:val="both"/>
      </w:pPr>
      <w:r>
        <w:rPr>
          <w:color w:val="231F20"/>
        </w:rPr>
        <w:t xml:space="preserve">的村级居家养老服务站。每个街道至少建成 </w:t>
      </w:r>
      <w:r>
        <w:rPr>
          <w:rFonts w:ascii="Times New Roman" w:eastAsia="Times New Roman"/>
          <w:color w:val="231F20"/>
        </w:rPr>
        <w:t xml:space="preserve">1 </w:t>
      </w:r>
      <w:r>
        <w:rPr>
          <w:color w:val="231F20"/>
        </w:rPr>
        <w:t>个具有示范效应的托</w:t>
      </w:r>
    </w:p>
    <w:p>
      <w:pPr>
        <w:pStyle w:val="2"/>
        <w:spacing w:before="173" w:line="338" w:lineRule="auto"/>
        <w:ind w:left="117" w:right="251"/>
        <w:jc w:val="both"/>
      </w:pPr>
      <w:r>
        <w:rPr>
          <w:color w:val="231F20"/>
        </w:rPr>
        <w:t xml:space="preserve">育机构， 每千人口拥有 </w:t>
      </w:r>
      <w:r>
        <w:rPr>
          <w:rFonts w:ascii="Times New Roman" w:eastAsia="Times New Roman"/>
          <w:color w:val="231F20"/>
        </w:rPr>
        <w:t xml:space="preserve">3 </w:t>
      </w:r>
      <w:r>
        <w:rPr>
          <w:color w:val="231F20"/>
        </w:rPr>
        <w:t xml:space="preserve">岁以下婴幼儿托位数 </w:t>
      </w:r>
      <w:r>
        <w:rPr>
          <w:rFonts w:ascii="Times New Roman" w:eastAsia="Times New Roman"/>
          <w:color w:val="231F20"/>
        </w:rPr>
        <w:t xml:space="preserve">4.5 </w:t>
      </w:r>
      <w:r>
        <w:rPr>
          <w:color w:val="231F20"/>
        </w:rPr>
        <w:t xml:space="preserve">个， 建成 </w:t>
      </w:r>
      <w:r>
        <w:rPr>
          <w:rFonts w:ascii="Times New Roman" w:eastAsia="Times New Roman"/>
          <w:color w:val="231F20"/>
        </w:rPr>
        <w:t xml:space="preserve">100 </w:t>
      </w:r>
      <w:r>
        <w:rPr>
          <w:color w:val="231F20"/>
        </w:rPr>
        <w:t>个儿童早期发展社区家庭支持服务示范点。</w:t>
      </w:r>
    </w:p>
    <w:p>
      <w:pPr>
        <w:pStyle w:val="2"/>
        <w:spacing w:before="39" w:line="338" w:lineRule="auto"/>
        <w:ind w:left="117" w:right="101" w:firstLine="619"/>
      </w:pPr>
      <w:r>
        <w:rPr>
          <w:color w:val="231F20"/>
          <w:spacing w:val="10"/>
        </w:rPr>
        <w:t>——普惠性发展目标。通过积极参与国家普惠养老城企联动、</w:t>
      </w:r>
      <w:r>
        <w:rPr>
          <w:color w:val="231F20"/>
          <w:spacing w:val="7"/>
        </w:rPr>
        <w:t xml:space="preserve">普惠托育专项行动， 到 </w:t>
      </w:r>
      <w:r>
        <w:rPr>
          <w:rFonts w:ascii="Times New Roman" w:hAnsi="Times New Roman" w:eastAsia="Times New Roman"/>
          <w:color w:val="231F20"/>
        </w:rPr>
        <w:t>2025</w:t>
      </w:r>
      <w:r>
        <w:rPr>
          <w:rFonts w:ascii="Times New Roman" w:hAnsi="Times New Roman" w:eastAsia="Times New Roman"/>
          <w:color w:val="231F20"/>
          <w:spacing w:val="18"/>
        </w:rPr>
        <w:t xml:space="preserve"> </w:t>
      </w:r>
      <w:r>
        <w:rPr>
          <w:color w:val="231F20"/>
          <w:spacing w:val="6"/>
        </w:rPr>
        <w:t xml:space="preserve">年， 全市新增普惠托位 </w:t>
      </w:r>
      <w:r>
        <w:rPr>
          <w:rFonts w:ascii="Times New Roman" w:hAnsi="Times New Roman" w:eastAsia="Times New Roman"/>
          <w:color w:val="231F20"/>
        </w:rPr>
        <w:t>2</w:t>
      </w:r>
      <w:r>
        <w:rPr>
          <w:rFonts w:ascii="Times New Roman" w:hAnsi="Times New Roman" w:eastAsia="Times New Roman"/>
          <w:color w:val="231F20"/>
          <w:spacing w:val="18"/>
        </w:rPr>
        <w:t xml:space="preserve"> </w:t>
      </w:r>
      <w:r>
        <w:rPr>
          <w:color w:val="231F20"/>
          <w:spacing w:val="23"/>
        </w:rPr>
        <w:t xml:space="preserve">万个左右， </w:t>
      </w:r>
      <w:r>
        <w:rPr>
          <w:color w:val="231F20"/>
          <w:spacing w:val="21"/>
        </w:rPr>
        <w:t>实现普惠养老床位、普惠托位数量、服务质量和企业可持续发展</w:t>
      </w:r>
      <w:r>
        <w:rPr>
          <w:color w:val="231F20"/>
          <w:spacing w:val="-4"/>
          <w:w w:val="101"/>
        </w:rPr>
        <w:t>能力“三提升”，企业建设运营成本和服务价格“两下降”，人民</w:t>
      </w:r>
      <w:r>
        <w:rPr>
          <w:color w:val="231F20"/>
          <w:spacing w:val="11"/>
        </w:rPr>
        <w:t>群众对社会养老托育服务“一满意”的发展目标。</w:t>
      </w:r>
    </w:p>
    <w:p>
      <w:pPr>
        <w:pStyle w:val="2"/>
        <w:spacing w:before="39" w:line="338" w:lineRule="auto"/>
        <w:ind w:left="117" w:right="248" w:firstLine="619"/>
        <w:jc w:val="both"/>
      </w:pPr>
      <w:r>
        <w:rPr>
          <w:color w:val="231F20"/>
        </w:rPr>
        <w:t xml:space="preserve">——市场化服务发展目标。进一步优化营商环境，利用 </w:t>
      </w:r>
      <w:r>
        <w:rPr>
          <w:rFonts w:ascii="Times New Roman" w:hAnsi="Times New Roman" w:eastAsia="Times New Roman"/>
          <w:color w:val="231F20"/>
        </w:rPr>
        <w:t>4</w:t>
      </w:r>
      <w:r>
        <w:rPr>
          <w:color w:val="231F20"/>
        </w:rPr>
        <w:t>～</w:t>
      </w:r>
      <w:r>
        <w:rPr>
          <w:rFonts w:ascii="Times New Roman" w:hAnsi="Times New Roman" w:eastAsia="Times New Roman"/>
          <w:color w:val="231F20"/>
        </w:rPr>
        <w:t xml:space="preserve">5 </w:t>
      </w:r>
      <w:r>
        <w:rPr>
          <w:color w:val="231F20"/>
        </w:rPr>
        <w:t xml:space="preserve">年时间，创树 </w:t>
      </w:r>
      <w:r>
        <w:rPr>
          <w:rFonts w:ascii="Times New Roman" w:hAnsi="Times New Roman" w:eastAsia="Times New Roman"/>
          <w:color w:val="231F20"/>
        </w:rPr>
        <w:t>2</w:t>
      </w:r>
      <w:r>
        <w:rPr>
          <w:color w:val="231F20"/>
        </w:rPr>
        <w:t>～</w:t>
      </w:r>
      <w:r>
        <w:rPr>
          <w:rFonts w:ascii="Times New Roman" w:hAnsi="Times New Roman" w:eastAsia="Times New Roman"/>
          <w:color w:val="231F20"/>
        </w:rPr>
        <w:t xml:space="preserve">3 </w:t>
      </w:r>
      <w:r>
        <w:rPr>
          <w:color w:val="231F20"/>
        </w:rPr>
        <w:t xml:space="preserve">个全国知名的老年用品长沙品牌，培育 </w:t>
      </w:r>
      <w:r>
        <w:rPr>
          <w:rFonts w:ascii="Times New Roman" w:hAnsi="Times New Roman" w:eastAsia="Times New Roman"/>
          <w:color w:val="231F20"/>
        </w:rPr>
        <w:t>3</w:t>
      </w:r>
      <w:r>
        <w:rPr>
          <w:color w:val="231F20"/>
        </w:rPr>
        <w:t>～</w:t>
      </w:r>
      <w:r>
        <w:rPr>
          <w:rFonts w:ascii="Times New Roman" w:hAnsi="Times New Roman" w:eastAsia="Times New Roman"/>
          <w:color w:val="231F20"/>
        </w:rPr>
        <w:t xml:space="preserve">5 </w:t>
      </w:r>
      <w:r>
        <w:rPr>
          <w:color w:val="231F20"/>
        </w:rPr>
        <w:t xml:space="preserve">个规模较大的养老连锁服务公司，打造 </w:t>
      </w:r>
      <w:r>
        <w:rPr>
          <w:rFonts w:ascii="Times New Roman" w:hAnsi="Times New Roman" w:eastAsia="Times New Roman"/>
          <w:color w:val="231F20"/>
        </w:rPr>
        <w:t>2</w:t>
      </w:r>
      <w:r>
        <w:rPr>
          <w:color w:val="231F20"/>
        </w:rPr>
        <w:t>～</w:t>
      </w:r>
      <w:r>
        <w:rPr>
          <w:rFonts w:ascii="Times New Roman" w:hAnsi="Times New Roman" w:eastAsia="Times New Roman"/>
          <w:color w:val="231F20"/>
        </w:rPr>
        <w:t xml:space="preserve">3 </w:t>
      </w:r>
      <w:r>
        <w:rPr>
          <w:color w:val="231F20"/>
        </w:rPr>
        <w:t xml:space="preserve">个养老服务综合体，建设 </w:t>
      </w:r>
      <w:r>
        <w:rPr>
          <w:rFonts w:ascii="Times New Roman" w:hAnsi="Times New Roman" w:eastAsia="Times New Roman"/>
          <w:color w:val="231F20"/>
        </w:rPr>
        <w:t>1</w:t>
      </w:r>
      <w:r>
        <w:rPr>
          <w:color w:val="231F20"/>
        </w:rPr>
        <w:t>～</w:t>
      </w:r>
      <w:r>
        <w:rPr>
          <w:rFonts w:ascii="Times New Roman" w:hAnsi="Times New Roman" w:eastAsia="Times New Roman"/>
          <w:color w:val="231F20"/>
        </w:rPr>
        <w:t xml:space="preserve">2 </w:t>
      </w:r>
      <w:r>
        <w:rPr>
          <w:color w:val="231F20"/>
        </w:rPr>
        <w:t xml:space="preserve">个依托生态旅游资源的候鸟式养老基地，争取 </w:t>
      </w:r>
      <w:r>
        <w:rPr>
          <w:rFonts w:ascii="Times New Roman" w:hAnsi="Times New Roman" w:eastAsia="Times New Roman"/>
          <w:color w:val="231F20"/>
        </w:rPr>
        <w:t>1</w:t>
      </w:r>
      <w:r>
        <w:rPr>
          <w:color w:val="231F20"/>
        </w:rPr>
        <w:t>～</w:t>
      </w:r>
      <w:r>
        <w:rPr>
          <w:rFonts w:ascii="Times New Roman" w:hAnsi="Times New Roman" w:eastAsia="Times New Roman"/>
          <w:color w:val="231F20"/>
        </w:rPr>
        <w:t xml:space="preserve">2 </w:t>
      </w:r>
      <w:r>
        <w:rPr>
          <w:color w:val="231F20"/>
        </w:rPr>
        <w:t>个国内外知名养老服务机构落户长沙，争取国内养老高端会展落户或巡</w:t>
      </w:r>
    </w:p>
    <w:p>
      <w:pPr>
        <w:spacing w:after="0" w:line="338" w:lineRule="auto"/>
        <w:jc w:val="both"/>
        <w:sectPr>
          <w:pgSz w:w="11910" w:h="16840"/>
          <w:pgMar w:top="1580" w:right="1280" w:bottom="1940" w:left="1360" w:header="0" w:footer="1755" w:gutter="0"/>
          <w:cols w:space="720" w:num="1"/>
        </w:sectPr>
      </w:pPr>
    </w:p>
    <w:p>
      <w:pPr>
        <w:pStyle w:val="2"/>
        <w:spacing w:before="6"/>
        <w:rPr>
          <w:sz w:val="7"/>
        </w:rPr>
      </w:pPr>
    </w:p>
    <w:p>
      <w:pPr>
        <w:pStyle w:val="2"/>
        <w:spacing w:before="6"/>
        <w:ind w:left="113"/>
      </w:pPr>
      <w:r>
        <w:rPr>
          <w:color w:val="231F20"/>
        </w:rPr>
        <w:t xml:space="preserve">展长沙，养老产业规模达到 </w:t>
      </w:r>
      <w:r>
        <w:rPr>
          <w:rFonts w:ascii="Times New Roman" w:eastAsia="Times New Roman"/>
          <w:color w:val="231F20"/>
        </w:rPr>
        <w:t xml:space="preserve">600 </w:t>
      </w:r>
      <w:r>
        <w:rPr>
          <w:color w:val="231F20"/>
        </w:rPr>
        <w:t>亿元左右。培育一批示范性托育服</w:t>
      </w:r>
    </w:p>
    <w:p>
      <w:pPr>
        <w:pStyle w:val="2"/>
        <w:spacing w:before="173" w:line="338" w:lineRule="auto"/>
        <w:ind w:left="113" w:right="95"/>
      </w:pPr>
      <w:r>
        <w:rPr>
          <w:color w:val="231F20"/>
        </w:rPr>
        <w:t xml:space="preserve">务机构，培育 </w:t>
      </w:r>
      <w:r>
        <w:rPr>
          <w:rFonts w:ascii="Times New Roman" w:eastAsia="Times New Roman"/>
          <w:color w:val="231F20"/>
        </w:rPr>
        <w:t xml:space="preserve">10 </w:t>
      </w:r>
      <w:r>
        <w:rPr>
          <w:color w:val="231F20"/>
        </w:rPr>
        <w:t>家以上高品质、连锁化、规模化发展的托育服务企业。</w:t>
      </w:r>
    </w:p>
    <w:p>
      <w:pPr>
        <w:pStyle w:val="2"/>
        <w:spacing w:before="48"/>
        <w:ind w:left="628"/>
        <w:rPr>
          <w:rFonts w:hint="eastAsia" w:ascii="方正楷体_GBK" w:eastAsia="方正楷体_GBK"/>
        </w:rPr>
      </w:pPr>
      <w:r>
        <w:rPr>
          <w:rFonts w:hint="eastAsia" w:ascii="方正楷体_GBK" w:eastAsia="方正楷体_GBK"/>
          <w:color w:val="231F20"/>
        </w:rPr>
        <w:t>（二） 具体指标</w:t>
      </w:r>
    </w:p>
    <w:p>
      <w:pPr>
        <w:pStyle w:val="2"/>
        <w:spacing w:before="184"/>
        <w:ind w:left="2004" w:right="2155"/>
        <w:jc w:val="center"/>
        <w:rPr>
          <w:rFonts w:hint="eastAsia" w:ascii="方正楷体_GBK" w:hAnsi="方正楷体_GBK" w:eastAsia="方正楷体_GBK"/>
        </w:rPr>
      </w:pPr>
      <w:r>
        <w:rPr>
          <w:rFonts w:hint="eastAsia" w:ascii="方正楷体_GBK" w:hAnsi="方正楷体_GBK" w:eastAsia="方正楷体_GBK"/>
          <w:color w:val="231F20"/>
        </w:rPr>
        <w:t>“一老一小”总体解决方案具体指标表</w:t>
      </w:r>
    </w:p>
    <w:p>
      <w:pPr>
        <w:pStyle w:val="2"/>
        <w:spacing w:before="0"/>
        <w:rPr>
          <w:rFonts w:ascii="方正楷体_GBK"/>
          <w:sz w:val="19"/>
        </w:rPr>
      </w:pPr>
    </w:p>
    <w:tbl>
      <w:tblPr>
        <w:tblStyle w:val="3"/>
        <w:tblW w:w="0" w:type="auto"/>
        <w:tblInd w:w="141"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771"/>
        <w:gridCol w:w="3174"/>
        <w:gridCol w:w="1198"/>
        <w:gridCol w:w="1212"/>
        <w:gridCol w:w="950"/>
        <w:gridCol w:w="1523"/>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700" w:hRule="atLeast"/>
        </w:trPr>
        <w:tc>
          <w:tcPr>
            <w:tcW w:w="771" w:type="dxa"/>
            <w:tcBorders>
              <w:bottom w:val="single" w:color="231F20" w:sz="4" w:space="0"/>
              <w:right w:val="single" w:color="231F20" w:sz="4" w:space="0"/>
            </w:tcBorders>
          </w:tcPr>
          <w:p>
            <w:pPr>
              <w:pStyle w:val="7"/>
              <w:spacing w:before="154"/>
              <w:ind w:left="14" w:right="14"/>
              <w:rPr>
                <w:rFonts w:hint="eastAsia" w:ascii="方正黑体_GBK" w:eastAsia="方正黑体_GBK"/>
                <w:sz w:val="23"/>
              </w:rPr>
            </w:pPr>
            <w:r>
              <w:rPr>
                <w:rFonts w:hint="eastAsia" w:ascii="方正黑体_GBK" w:eastAsia="方正黑体_GBK"/>
                <w:color w:val="231F20"/>
                <w:sz w:val="23"/>
              </w:rPr>
              <w:t>序号</w:t>
            </w:r>
          </w:p>
        </w:tc>
        <w:tc>
          <w:tcPr>
            <w:tcW w:w="3174" w:type="dxa"/>
            <w:tcBorders>
              <w:left w:val="single" w:color="231F20" w:sz="4" w:space="0"/>
              <w:bottom w:val="single" w:color="231F20" w:sz="4" w:space="0"/>
              <w:right w:val="single" w:color="231F20" w:sz="4" w:space="0"/>
            </w:tcBorders>
          </w:tcPr>
          <w:p>
            <w:pPr>
              <w:pStyle w:val="7"/>
              <w:spacing w:before="154"/>
              <w:ind w:left="1101" w:right="1101"/>
              <w:rPr>
                <w:rFonts w:hint="eastAsia" w:ascii="方正黑体_GBK" w:eastAsia="方正黑体_GBK"/>
                <w:sz w:val="23"/>
              </w:rPr>
            </w:pPr>
            <w:r>
              <w:rPr>
                <w:rFonts w:hint="eastAsia" w:ascii="方正黑体_GBK" w:eastAsia="方正黑体_GBK"/>
                <w:color w:val="231F20"/>
                <w:sz w:val="23"/>
              </w:rPr>
              <w:t>具体指标</w:t>
            </w:r>
          </w:p>
        </w:tc>
        <w:tc>
          <w:tcPr>
            <w:tcW w:w="1198" w:type="dxa"/>
            <w:tcBorders>
              <w:left w:val="single" w:color="231F20" w:sz="4" w:space="0"/>
              <w:bottom w:val="single" w:color="231F20" w:sz="4" w:space="0"/>
              <w:right w:val="single" w:color="231F20" w:sz="4" w:space="0"/>
            </w:tcBorders>
          </w:tcPr>
          <w:p>
            <w:pPr>
              <w:pStyle w:val="7"/>
              <w:spacing w:before="6" w:line="318" w:lineRule="exact"/>
              <w:ind w:left="5" w:right="5"/>
              <w:rPr>
                <w:rFonts w:hint="eastAsia" w:ascii="方正黑体_GBK" w:eastAsia="方正黑体_GBK"/>
                <w:sz w:val="23"/>
              </w:rPr>
            </w:pPr>
            <w:r>
              <w:rPr>
                <w:rFonts w:hint="eastAsia" w:ascii="方正黑体_GBK" w:eastAsia="方正黑体_GBK"/>
                <w:color w:val="231F20"/>
                <w:sz w:val="23"/>
              </w:rPr>
              <w:t>当前值</w:t>
            </w:r>
          </w:p>
          <w:p>
            <w:pPr>
              <w:pStyle w:val="7"/>
              <w:spacing w:line="318" w:lineRule="exact"/>
              <w:ind w:left="5" w:right="5"/>
              <w:rPr>
                <w:rFonts w:hint="eastAsia" w:ascii="方正黑体_GBK" w:eastAsia="方正黑体_GBK"/>
                <w:sz w:val="23"/>
              </w:rPr>
            </w:pPr>
            <w:r>
              <w:rPr>
                <w:rFonts w:hint="eastAsia" w:ascii="方正黑体_GBK" w:eastAsia="方正黑体_GBK"/>
                <w:color w:val="231F20"/>
                <w:spacing w:val="-8"/>
                <w:sz w:val="23"/>
              </w:rPr>
              <w:t>（</w:t>
            </w:r>
            <w:r>
              <w:rPr>
                <w:rFonts w:ascii="Times New Roman" w:eastAsia="Times New Roman"/>
                <w:color w:val="231F20"/>
                <w:spacing w:val="-8"/>
                <w:sz w:val="23"/>
              </w:rPr>
              <w:t xml:space="preserve">2020 </w:t>
            </w:r>
            <w:r>
              <w:rPr>
                <w:rFonts w:hint="eastAsia" w:ascii="方正黑体_GBK" w:eastAsia="方正黑体_GBK"/>
                <w:color w:val="231F20"/>
                <w:spacing w:val="-43"/>
                <w:sz w:val="23"/>
              </w:rPr>
              <w:t xml:space="preserve">年 </w:t>
            </w:r>
            <w:r>
              <w:rPr>
                <w:rFonts w:hint="eastAsia" w:ascii="方正黑体_GBK" w:eastAsia="方正黑体_GBK"/>
                <w:color w:val="231F20"/>
                <w:sz w:val="23"/>
              </w:rPr>
              <w:t>）</w:t>
            </w:r>
          </w:p>
        </w:tc>
        <w:tc>
          <w:tcPr>
            <w:tcW w:w="1212" w:type="dxa"/>
            <w:tcBorders>
              <w:left w:val="single" w:color="231F20" w:sz="4" w:space="0"/>
              <w:bottom w:val="single" w:color="231F20" w:sz="4" w:space="0"/>
              <w:right w:val="single" w:color="231F20" w:sz="4" w:space="0"/>
            </w:tcBorders>
          </w:tcPr>
          <w:p>
            <w:pPr>
              <w:pStyle w:val="7"/>
              <w:spacing w:before="6" w:line="318" w:lineRule="exact"/>
              <w:ind w:left="12" w:right="12"/>
              <w:rPr>
                <w:rFonts w:hint="eastAsia" w:ascii="方正黑体_GBK" w:eastAsia="方正黑体_GBK"/>
                <w:sz w:val="23"/>
              </w:rPr>
            </w:pPr>
            <w:r>
              <w:rPr>
                <w:rFonts w:hint="eastAsia" w:ascii="方正黑体_GBK" w:eastAsia="方正黑体_GBK"/>
                <w:color w:val="231F20"/>
                <w:sz w:val="23"/>
              </w:rPr>
              <w:t>目标值</w:t>
            </w:r>
          </w:p>
          <w:p>
            <w:pPr>
              <w:pStyle w:val="7"/>
              <w:spacing w:line="318" w:lineRule="exact"/>
              <w:ind w:left="12" w:right="12"/>
              <w:rPr>
                <w:rFonts w:hint="eastAsia" w:ascii="方正黑体_GBK" w:eastAsia="方正黑体_GBK"/>
                <w:sz w:val="23"/>
              </w:rPr>
            </w:pPr>
            <w:r>
              <w:rPr>
                <w:rFonts w:hint="eastAsia" w:ascii="方正黑体_GBK" w:eastAsia="方正黑体_GBK"/>
                <w:color w:val="231F20"/>
                <w:spacing w:val="-8"/>
                <w:sz w:val="23"/>
              </w:rPr>
              <w:t>（</w:t>
            </w:r>
            <w:r>
              <w:rPr>
                <w:rFonts w:ascii="Times New Roman" w:eastAsia="Times New Roman"/>
                <w:color w:val="231F20"/>
                <w:spacing w:val="-8"/>
                <w:sz w:val="23"/>
              </w:rPr>
              <w:t xml:space="preserve">2025 </w:t>
            </w:r>
            <w:r>
              <w:rPr>
                <w:rFonts w:hint="eastAsia" w:ascii="方正黑体_GBK" w:eastAsia="方正黑体_GBK"/>
                <w:color w:val="231F20"/>
                <w:spacing w:val="-43"/>
                <w:sz w:val="23"/>
              </w:rPr>
              <w:t xml:space="preserve">年 </w:t>
            </w:r>
            <w:r>
              <w:rPr>
                <w:rFonts w:hint="eastAsia" w:ascii="方正黑体_GBK" w:eastAsia="方正黑体_GBK"/>
                <w:color w:val="231F20"/>
                <w:sz w:val="23"/>
              </w:rPr>
              <w:t>）</w:t>
            </w:r>
          </w:p>
        </w:tc>
        <w:tc>
          <w:tcPr>
            <w:tcW w:w="950" w:type="dxa"/>
            <w:tcBorders>
              <w:left w:val="single" w:color="231F20" w:sz="4" w:space="0"/>
              <w:bottom w:val="single" w:color="231F20" w:sz="4" w:space="0"/>
              <w:right w:val="single" w:color="231F20" w:sz="4" w:space="0"/>
            </w:tcBorders>
          </w:tcPr>
          <w:p>
            <w:pPr>
              <w:pStyle w:val="7"/>
              <w:spacing w:before="46" w:line="211" w:lineRule="auto"/>
              <w:ind w:left="232" w:right="227"/>
              <w:jc w:val="left"/>
              <w:rPr>
                <w:rFonts w:hint="eastAsia" w:ascii="方正黑体_GBK" w:eastAsia="方正黑体_GBK"/>
                <w:sz w:val="23"/>
              </w:rPr>
            </w:pPr>
            <w:r>
              <w:rPr>
                <w:rFonts w:hint="eastAsia" w:ascii="方正黑体_GBK" w:eastAsia="方正黑体_GBK"/>
                <w:color w:val="231F20"/>
                <w:sz w:val="23"/>
              </w:rPr>
              <w:t>指标属性</w:t>
            </w:r>
          </w:p>
        </w:tc>
        <w:tc>
          <w:tcPr>
            <w:tcW w:w="1523" w:type="dxa"/>
            <w:tcBorders>
              <w:left w:val="single" w:color="231F20" w:sz="4" w:space="0"/>
              <w:bottom w:val="single" w:color="231F20" w:sz="4" w:space="0"/>
            </w:tcBorders>
          </w:tcPr>
          <w:p>
            <w:pPr>
              <w:pStyle w:val="7"/>
              <w:spacing w:before="154"/>
              <w:ind w:left="46" w:right="44"/>
              <w:rPr>
                <w:rFonts w:hint="eastAsia" w:ascii="方正黑体_GBK" w:eastAsia="方正黑体_GBK"/>
                <w:sz w:val="23"/>
              </w:rPr>
            </w:pPr>
            <w:r>
              <w:rPr>
                <w:rFonts w:hint="eastAsia" w:ascii="方正黑体_GBK" w:eastAsia="方正黑体_GBK"/>
                <w:color w:val="231F20"/>
                <w:sz w:val="23"/>
              </w:rPr>
              <w:t>责任单位</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38"/>
              <w:ind w:left="14" w:right="14"/>
              <w:rPr>
                <w:rFonts w:hint="eastAsia" w:ascii="方正楷体_GBK" w:eastAsia="方正楷体_GBK"/>
                <w:sz w:val="23"/>
              </w:rPr>
            </w:pPr>
            <w:r>
              <w:rPr>
                <w:rFonts w:hint="eastAsia" w:ascii="方正楷体_GBK" w:eastAsia="方正楷体_GBK"/>
                <w:color w:val="231F20"/>
                <w:sz w:val="23"/>
              </w:rPr>
              <w:t>（一）</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8"/>
              <w:ind w:left="25"/>
              <w:jc w:val="left"/>
              <w:rPr>
                <w:rFonts w:hint="eastAsia" w:ascii="方正楷体_GBK" w:eastAsia="方正楷体_GBK"/>
                <w:sz w:val="23"/>
              </w:rPr>
            </w:pPr>
            <w:r>
              <w:rPr>
                <w:rFonts w:hint="eastAsia" w:ascii="方正楷体_GBK" w:eastAsia="方正楷体_GBK"/>
                <w:color w:val="231F20"/>
                <w:sz w:val="23"/>
              </w:rPr>
              <w:t>养老方面</w:t>
            </w:r>
          </w:p>
        </w:tc>
        <w:tc>
          <w:tcPr>
            <w:tcW w:w="1198"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4"/>
              </w:rPr>
            </w:pPr>
          </w:p>
        </w:tc>
        <w:tc>
          <w:tcPr>
            <w:tcW w:w="1212"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4"/>
              </w:rPr>
            </w:pPr>
          </w:p>
        </w:tc>
        <w:tc>
          <w:tcPr>
            <w:tcW w:w="950"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4"/>
              </w:rPr>
            </w:pPr>
          </w:p>
        </w:tc>
        <w:tc>
          <w:tcPr>
            <w:tcW w:w="1523" w:type="dxa"/>
            <w:tcBorders>
              <w:top w:val="single" w:color="231F20" w:sz="4" w:space="0"/>
              <w:left w:val="single" w:color="231F20" w:sz="4" w:space="0"/>
              <w:bottom w:val="single" w:color="231F20" w:sz="4" w:space="0"/>
            </w:tcBorders>
          </w:tcPr>
          <w:p>
            <w:pPr>
              <w:pStyle w:val="7"/>
              <w:jc w:val="left"/>
              <w:rPr>
                <w:rFonts w:ascii="Times New Roman"/>
                <w:sz w:val="24"/>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80" w:hRule="atLeast"/>
        </w:trPr>
        <w:tc>
          <w:tcPr>
            <w:tcW w:w="771" w:type="dxa"/>
            <w:tcBorders>
              <w:top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14" w:right="14"/>
              <w:rPr>
                <w:rFonts w:ascii="Times New Roman"/>
                <w:sz w:val="23"/>
              </w:rPr>
            </w:pPr>
            <w:r>
              <w:rPr>
                <w:rFonts w:ascii="Times New Roman"/>
                <w:color w:val="231F20"/>
                <w:sz w:val="23"/>
              </w:rPr>
              <w:t>1.1</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200"/>
              <w:ind w:left="25"/>
              <w:jc w:val="left"/>
              <w:rPr>
                <w:sz w:val="23"/>
              </w:rPr>
            </w:pPr>
            <w:r>
              <w:rPr>
                <w:color w:val="231F20"/>
                <w:sz w:val="23"/>
              </w:rPr>
              <w:t>基本养老保险参保率（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5" w:right="5"/>
              <w:rPr>
                <w:rFonts w:ascii="Times New Roman"/>
                <w:sz w:val="23"/>
              </w:rPr>
            </w:pPr>
            <w:r>
              <w:rPr>
                <w:rFonts w:ascii="Times New Roman"/>
                <w:color w:val="231F20"/>
                <w:sz w:val="23"/>
              </w:rPr>
              <w:t>96%</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7"/>
              <w:ind w:right="313"/>
              <w:jc w:val="right"/>
              <w:rPr>
                <w:rFonts w:ascii="Times New Roman" w:hAnsi="Times New Roman"/>
                <w:sz w:val="23"/>
              </w:rPr>
            </w:pPr>
            <w:r>
              <w:rPr>
                <w:rFonts w:ascii="NEU-BZ" w:hAnsi="NEU-BZ"/>
                <w:color w:val="231F20"/>
                <w:sz w:val="23"/>
              </w:rPr>
              <w:t>≥</w:t>
            </w:r>
            <w:r>
              <w:rPr>
                <w:rFonts w:ascii="Times New Roman" w:hAnsi="Times New Roman"/>
                <w:color w:val="231F20"/>
                <w:sz w:val="23"/>
              </w:rPr>
              <w:t>96%</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0"/>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93" w:line="211" w:lineRule="auto"/>
              <w:ind w:left="158"/>
              <w:jc w:val="left"/>
              <w:rPr>
                <w:sz w:val="23"/>
              </w:rPr>
            </w:pPr>
            <w:r>
              <w:rPr>
                <w:color w:val="231F20"/>
                <w:sz w:val="23"/>
              </w:rPr>
              <w:t>市人力资源社会保障局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1.2</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基本医疗保险参保率（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5"/>
              <w:rPr>
                <w:rFonts w:ascii="Times New Roman"/>
                <w:sz w:val="23"/>
              </w:rPr>
            </w:pPr>
            <w:r>
              <w:rPr>
                <w:rFonts w:ascii="Times New Roman"/>
                <w:color w:val="231F20"/>
                <w:sz w:val="23"/>
              </w:rPr>
              <w:t>95%</w:t>
            </w:r>
          </w:p>
        </w:tc>
        <w:tc>
          <w:tcPr>
            <w:tcW w:w="1212" w:type="dxa"/>
            <w:tcBorders>
              <w:top w:val="single" w:color="231F20" w:sz="4" w:space="0"/>
              <w:left w:val="single" w:color="231F20" w:sz="4" w:space="0"/>
              <w:bottom w:val="single" w:color="231F20" w:sz="4" w:space="0"/>
              <w:right w:val="single" w:color="231F20" w:sz="4" w:space="0"/>
            </w:tcBorders>
          </w:tcPr>
          <w:p>
            <w:pPr>
              <w:pStyle w:val="7"/>
              <w:spacing w:line="439" w:lineRule="exact"/>
              <w:ind w:right="313"/>
              <w:jc w:val="right"/>
              <w:rPr>
                <w:rFonts w:ascii="Times New Roman" w:hAnsi="Times New Roman"/>
                <w:sz w:val="23"/>
              </w:rPr>
            </w:pPr>
            <w:r>
              <w:rPr>
                <w:rFonts w:ascii="NEU-BZ" w:hAnsi="NEU-BZ"/>
                <w:color w:val="231F20"/>
                <w:sz w:val="23"/>
              </w:rPr>
              <w:t>≥</w:t>
            </w:r>
            <w:r>
              <w:rPr>
                <w:rFonts w:ascii="Times New Roman" w:hAnsi="Times New Roman"/>
                <w:color w:val="231F20"/>
                <w:sz w:val="23"/>
              </w:rPr>
              <w:t>95%</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市医保局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780" w:hRule="atLeast"/>
        </w:trPr>
        <w:tc>
          <w:tcPr>
            <w:tcW w:w="771" w:type="dxa"/>
            <w:tcBorders>
              <w:top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14" w:right="14"/>
              <w:rPr>
                <w:rFonts w:ascii="Times New Roman"/>
                <w:sz w:val="23"/>
              </w:rPr>
            </w:pPr>
            <w:r>
              <w:rPr>
                <w:rFonts w:ascii="Times New Roman"/>
                <w:color w:val="231F20"/>
                <w:sz w:val="23"/>
              </w:rPr>
              <w:t>1.3</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93" w:line="211" w:lineRule="auto"/>
              <w:ind w:left="25"/>
              <w:jc w:val="left"/>
              <w:rPr>
                <w:sz w:val="23"/>
              </w:rPr>
            </w:pPr>
            <w:r>
              <w:rPr>
                <w:color w:val="231F20"/>
                <w:sz w:val="23"/>
              </w:rPr>
              <w:t>新建住宅小区配套建设养老服务设施达标率（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right="320"/>
              <w:jc w:val="right"/>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0"/>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93" w:line="211" w:lineRule="auto"/>
              <w:ind w:left="398" w:hanging="240"/>
              <w:jc w:val="left"/>
              <w:rPr>
                <w:sz w:val="23"/>
              </w:rPr>
            </w:pPr>
            <w:r>
              <w:rPr>
                <w:color w:val="231F20"/>
                <w:sz w:val="23"/>
              </w:rPr>
              <w:t>市自然资源规划局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1.4</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pacing w:val="-5"/>
                <w:sz w:val="23"/>
              </w:rPr>
              <w:t>养老机构护理型床位占比</w:t>
            </w:r>
            <w:r>
              <w:rPr>
                <w:color w:val="231F20"/>
                <w:spacing w:val="-31"/>
                <w:sz w:val="23"/>
              </w:rPr>
              <w:t>（</w:t>
            </w:r>
            <w:r>
              <w:rPr>
                <w:rFonts w:ascii="Times New Roman" w:eastAsia="Times New Roman"/>
                <w:color w:val="231F20"/>
                <w:spacing w:val="-31"/>
                <w:sz w:val="23"/>
              </w:rPr>
              <w:t>%</w:t>
            </w:r>
            <w:r>
              <w:rPr>
                <w:color w:val="231F20"/>
                <w:spacing w:val="-31"/>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5"/>
              <w:rPr>
                <w:rFonts w:ascii="Times New Roman"/>
                <w:sz w:val="23"/>
              </w:rPr>
            </w:pPr>
            <w:r>
              <w:rPr>
                <w:rFonts w:ascii="Times New Roman"/>
                <w:color w:val="231F20"/>
                <w:sz w:val="23"/>
              </w:rPr>
              <w:t>45%</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left="383"/>
              <w:jc w:val="left"/>
              <w:rPr>
                <w:rFonts w:ascii="Times New Roman"/>
                <w:sz w:val="23"/>
              </w:rPr>
            </w:pPr>
            <w:r>
              <w:rPr>
                <w:rFonts w:ascii="Times New Roman"/>
                <w:color w:val="231F20"/>
                <w:sz w:val="23"/>
              </w:rPr>
              <w:t>55%</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80" w:hRule="atLeast"/>
        </w:trPr>
        <w:tc>
          <w:tcPr>
            <w:tcW w:w="771" w:type="dxa"/>
            <w:tcBorders>
              <w:top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14" w:right="14"/>
              <w:rPr>
                <w:rFonts w:ascii="Times New Roman"/>
                <w:sz w:val="23"/>
              </w:rPr>
            </w:pPr>
            <w:r>
              <w:rPr>
                <w:rFonts w:ascii="Times New Roman"/>
                <w:color w:val="231F20"/>
                <w:sz w:val="23"/>
              </w:rPr>
              <w:t>1.5</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93" w:line="211" w:lineRule="auto"/>
              <w:ind w:left="25"/>
              <w:jc w:val="left"/>
              <w:rPr>
                <w:sz w:val="23"/>
              </w:rPr>
            </w:pPr>
            <w:r>
              <w:rPr>
                <w:color w:val="231F20"/>
                <w:sz w:val="23"/>
              </w:rPr>
              <w:t>有集中供养意愿的特困人员集中供养率（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5" w:right="5"/>
              <w:rPr>
                <w:rFonts w:ascii="Times New Roman"/>
                <w:sz w:val="23"/>
              </w:rPr>
            </w:pPr>
            <w:r>
              <w:rPr>
                <w:rFonts w:ascii="Times New Roman"/>
                <w:color w:val="231F20"/>
                <w:sz w:val="23"/>
              </w:rPr>
              <w:t>100%</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right="320"/>
              <w:jc w:val="right"/>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0"/>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200"/>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1.6</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老年人健康管理率（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5"/>
              <w:rPr>
                <w:rFonts w:ascii="Times New Roman"/>
                <w:sz w:val="23"/>
              </w:rPr>
            </w:pPr>
            <w:r>
              <w:rPr>
                <w:rFonts w:ascii="Times New Roman"/>
                <w:color w:val="231F20"/>
                <w:sz w:val="23"/>
              </w:rPr>
              <w:t>60%</w:t>
            </w:r>
          </w:p>
        </w:tc>
        <w:tc>
          <w:tcPr>
            <w:tcW w:w="1212" w:type="dxa"/>
            <w:tcBorders>
              <w:top w:val="single" w:color="231F20" w:sz="4" w:space="0"/>
              <w:left w:val="single" w:color="231F20" w:sz="4" w:space="0"/>
              <w:bottom w:val="single" w:color="231F20" w:sz="4" w:space="0"/>
              <w:right w:val="single" w:color="231F20" w:sz="4" w:space="0"/>
            </w:tcBorders>
          </w:tcPr>
          <w:p>
            <w:pPr>
              <w:pStyle w:val="7"/>
              <w:spacing w:line="439" w:lineRule="exact"/>
              <w:ind w:right="313"/>
              <w:jc w:val="right"/>
              <w:rPr>
                <w:rFonts w:ascii="Times New Roman" w:hAnsi="Times New Roman"/>
                <w:sz w:val="23"/>
              </w:rPr>
            </w:pPr>
            <w:r>
              <w:rPr>
                <w:rFonts w:ascii="NEU-BZ" w:hAnsi="NEU-BZ"/>
                <w:color w:val="231F20"/>
                <w:sz w:val="23"/>
              </w:rPr>
              <w:t>≥</w:t>
            </w:r>
            <w:r>
              <w:rPr>
                <w:rFonts w:ascii="Times New Roman" w:hAnsi="Times New Roman"/>
                <w:color w:val="231F20"/>
                <w:sz w:val="23"/>
              </w:rPr>
              <w:t>70%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1.7</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right="-32"/>
              <w:jc w:val="left"/>
              <w:rPr>
                <w:sz w:val="23"/>
              </w:rPr>
            </w:pPr>
            <w:r>
              <w:rPr>
                <w:color w:val="231F20"/>
                <w:spacing w:val="-1"/>
                <w:sz w:val="23"/>
              </w:rPr>
              <w:t>社区养老服务设施覆盖率</w:t>
            </w:r>
            <w:r>
              <w:rPr>
                <w:color w:val="231F20"/>
                <w:spacing w:val="-28"/>
                <w:sz w:val="23"/>
              </w:rPr>
              <w:t>（</w:t>
            </w:r>
            <w:r>
              <w:rPr>
                <w:rFonts w:ascii="Times New Roman" w:eastAsia="Times New Roman"/>
                <w:color w:val="231F20"/>
                <w:spacing w:val="-28"/>
                <w:sz w:val="23"/>
              </w:rPr>
              <w:t>%</w:t>
            </w:r>
            <w:r>
              <w:rPr>
                <w:color w:val="231F20"/>
                <w:spacing w:val="-28"/>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5"/>
              <w:rPr>
                <w:rFonts w:ascii="Times New Roman"/>
                <w:sz w:val="23"/>
              </w:rPr>
            </w:pPr>
            <w:r>
              <w:rPr>
                <w:rFonts w:ascii="Times New Roman"/>
                <w:color w:val="231F20"/>
                <w:sz w:val="23"/>
              </w:rPr>
              <w:t>65%</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right="320"/>
              <w:jc w:val="right"/>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1.8</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人均预期寿命（岁）</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31"/>
              <w:ind w:left="5" w:right="5"/>
              <w:rPr>
                <w:sz w:val="23"/>
              </w:rPr>
            </w:pPr>
            <w:r>
              <w:rPr>
                <w:rFonts w:ascii="Times New Roman" w:eastAsia="Times New Roman"/>
                <w:color w:val="231F20"/>
                <w:sz w:val="23"/>
              </w:rPr>
              <w:t xml:space="preserve">80 </w:t>
            </w:r>
            <w:r>
              <w:rPr>
                <w:color w:val="231F20"/>
                <w:sz w:val="23"/>
              </w:rPr>
              <w:t>岁</w:t>
            </w:r>
          </w:p>
        </w:tc>
        <w:tc>
          <w:tcPr>
            <w:tcW w:w="1212" w:type="dxa"/>
            <w:tcBorders>
              <w:top w:val="single" w:color="231F20" w:sz="4" w:space="0"/>
              <w:left w:val="single" w:color="231F20" w:sz="4" w:space="0"/>
              <w:bottom w:val="single" w:color="231F20" w:sz="4" w:space="0"/>
              <w:right w:val="single" w:color="231F20" w:sz="4" w:space="0"/>
            </w:tcBorders>
          </w:tcPr>
          <w:p>
            <w:pPr>
              <w:pStyle w:val="7"/>
              <w:spacing w:line="439" w:lineRule="exact"/>
              <w:ind w:right="279"/>
              <w:jc w:val="right"/>
              <w:rPr>
                <w:sz w:val="23"/>
              </w:rPr>
            </w:pPr>
            <w:r>
              <w:rPr>
                <w:rFonts w:ascii="NEU-BZ" w:hAnsi="NEU-BZ" w:eastAsia="NEU-BZ"/>
                <w:color w:val="231F20"/>
                <w:sz w:val="23"/>
              </w:rPr>
              <w:t>≥</w:t>
            </w:r>
            <w:r>
              <w:rPr>
                <w:rFonts w:ascii="Times New Roman" w:hAnsi="Times New Roman" w:eastAsia="Times New Roman"/>
                <w:color w:val="231F20"/>
                <w:sz w:val="23"/>
              </w:rPr>
              <w:t xml:space="preserve">80 </w:t>
            </w:r>
            <w:r>
              <w:rPr>
                <w:color w:val="231F20"/>
                <w:sz w:val="23"/>
              </w:rPr>
              <w:t>岁</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1.9</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骨干养老企业数量（家）</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31"/>
              <w:ind w:left="5" w:right="5"/>
              <w:rPr>
                <w:sz w:val="23"/>
              </w:rPr>
            </w:pPr>
            <w:r>
              <w:rPr>
                <w:rFonts w:ascii="Times New Roman" w:eastAsia="Times New Roman"/>
                <w:color w:val="231F20"/>
                <w:sz w:val="23"/>
              </w:rPr>
              <w:t xml:space="preserve">10 </w:t>
            </w:r>
            <w:r>
              <w:rPr>
                <w:color w:val="231F20"/>
                <w:sz w:val="23"/>
              </w:rPr>
              <w:t>家</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31"/>
              <w:ind w:right="346"/>
              <w:jc w:val="right"/>
              <w:rPr>
                <w:sz w:val="23"/>
              </w:rPr>
            </w:pPr>
            <w:r>
              <w:rPr>
                <w:rFonts w:ascii="Times New Roman" w:eastAsia="Times New Roman"/>
                <w:color w:val="231F20"/>
                <w:sz w:val="23"/>
              </w:rPr>
              <w:t xml:space="preserve">15 </w:t>
            </w:r>
            <w:r>
              <w:rPr>
                <w:color w:val="231F20"/>
                <w:sz w:val="23"/>
              </w:rPr>
              <w:t>家</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1.10</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福彩公益金投入比例（</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5"/>
              <w:rPr>
                <w:rFonts w:ascii="Times New Roman"/>
                <w:sz w:val="23"/>
              </w:rPr>
            </w:pPr>
            <w:r>
              <w:rPr>
                <w:rFonts w:ascii="Times New Roman"/>
                <w:color w:val="231F20"/>
                <w:sz w:val="23"/>
              </w:rPr>
              <w:t>55%</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left="383"/>
              <w:jc w:val="left"/>
              <w:rPr>
                <w:rFonts w:ascii="Times New Roman"/>
                <w:sz w:val="23"/>
              </w:rPr>
            </w:pPr>
            <w:r>
              <w:rPr>
                <w:rFonts w:ascii="Times New Roman"/>
                <w:color w:val="231F20"/>
                <w:sz w:val="23"/>
              </w:rPr>
              <w:t>55%</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1.11</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养老护理专业人才数（人）</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5" w:right="3"/>
              <w:rPr>
                <w:rFonts w:ascii="Times New Roman"/>
                <w:sz w:val="23"/>
              </w:rPr>
            </w:pPr>
            <w:r>
              <w:rPr>
                <w:rFonts w:ascii="Times New Roman"/>
                <w:color w:val="231F20"/>
                <w:sz w:val="23"/>
              </w:rPr>
              <w:t>2000</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left="363"/>
              <w:jc w:val="left"/>
              <w:rPr>
                <w:rFonts w:ascii="Times New Roman"/>
                <w:sz w:val="23"/>
              </w:rPr>
            </w:pPr>
            <w:r>
              <w:rPr>
                <w:rFonts w:ascii="Times New Roman"/>
                <w:color w:val="231F20"/>
                <w:sz w:val="23"/>
              </w:rPr>
              <w:t>3000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1.12</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right="-32"/>
              <w:jc w:val="left"/>
              <w:rPr>
                <w:sz w:val="23"/>
              </w:rPr>
            </w:pPr>
            <w:r>
              <w:rPr>
                <w:color w:val="231F20"/>
                <w:spacing w:val="-1"/>
                <w:sz w:val="23"/>
              </w:rPr>
              <w:t>特殊困难老年人月探访率</w:t>
            </w:r>
            <w:r>
              <w:rPr>
                <w:color w:val="231F20"/>
                <w:spacing w:val="-28"/>
                <w:sz w:val="23"/>
              </w:rPr>
              <w:t>（</w:t>
            </w:r>
            <w:r>
              <w:rPr>
                <w:rFonts w:ascii="Times New Roman" w:eastAsia="Times New Roman"/>
                <w:color w:val="231F20"/>
                <w:spacing w:val="-28"/>
                <w:sz w:val="23"/>
              </w:rPr>
              <w:t>%</w:t>
            </w:r>
            <w:r>
              <w:rPr>
                <w:color w:val="231F20"/>
                <w:spacing w:val="-28"/>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right="320"/>
              <w:jc w:val="right"/>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9"/>
              <w:ind w:left="14" w:right="14"/>
              <w:rPr>
                <w:rFonts w:ascii="Times New Roman"/>
                <w:sz w:val="23"/>
              </w:rPr>
            </w:pPr>
            <w:r>
              <w:rPr>
                <w:rFonts w:ascii="Times New Roman"/>
                <w:color w:val="231F20"/>
                <w:sz w:val="23"/>
              </w:rPr>
              <w:t>1.13</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1"/>
              <w:ind w:left="25"/>
              <w:jc w:val="left"/>
              <w:rPr>
                <w:sz w:val="23"/>
              </w:rPr>
            </w:pPr>
            <w:r>
              <w:rPr>
                <w:color w:val="231F20"/>
                <w:sz w:val="23"/>
              </w:rPr>
              <w:t>失能老人社区帮扶率（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9"/>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9"/>
              <w:ind w:right="320"/>
              <w:jc w:val="right"/>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1"/>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1"/>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780" w:hRule="atLeast"/>
        </w:trPr>
        <w:tc>
          <w:tcPr>
            <w:tcW w:w="771" w:type="dxa"/>
            <w:tcBorders>
              <w:top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14" w:right="14"/>
              <w:rPr>
                <w:rFonts w:ascii="Times New Roman"/>
                <w:sz w:val="23"/>
              </w:rPr>
            </w:pPr>
            <w:r>
              <w:rPr>
                <w:rFonts w:ascii="Times New Roman"/>
                <w:color w:val="231F20"/>
                <w:sz w:val="23"/>
              </w:rPr>
              <w:t>1.14</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93" w:line="211" w:lineRule="auto"/>
              <w:ind w:left="25"/>
              <w:jc w:val="left"/>
              <w:rPr>
                <w:sz w:val="23"/>
              </w:rPr>
            </w:pPr>
            <w:r>
              <w:rPr>
                <w:color w:val="231F20"/>
                <w:spacing w:val="1"/>
                <w:sz w:val="23"/>
              </w:rPr>
              <w:t>每千名老年人配套社会工作者</w:t>
            </w:r>
            <w:r>
              <w:rPr>
                <w:color w:val="231F20"/>
                <w:spacing w:val="20"/>
                <w:sz w:val="23"/>
              </w:rPr>
              <w:t>人数</w:t>
            </w:r>
            <w:r>
              <w:rPr>
                <w:color w:val="231F20"/>
                <w:spacing w:val="-32"/>
                <w:sz w:val="23"/>
              </w:rPr>
              <w:t>（人</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3"/>
              <w:jc w:val="left"/>
              <w:rPr>
                <w:rFonts w:ascii="方正楷体_GBK"/>
                <w:sz w:val="18"/>
              </w:rPr>
            </w:pPr>
          </w:p>
          <w:p>
            <w:pPr>
              <w:pStyle w:val="7"/>
              <w:ind w:left="2"/>
              <w:rPr>
                <w:rFonts w:ascii="Times New Roman"/>
                <w:sz w:val="23"/>
              </w:rPr>
            </w:pPr>
            <w:r>
              <w:rPr>
                <w:rFonts w:ascii="Times New Roman"/>
                <w:color w:val="231F20"/>
                <w:w w:val="102"/>
                <w:sz w:val="23"/>
              </w:rPr>
              <w:t>1</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0"/>
              <w:ind w:left="112"/>
              <w:jc w:val="lef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200"/>
              <w:ind w:left="46" w:right="44"/>
              <w:rPr>
                <w:sz w:val="23"/>
              </w:rPr>
            </w:pPr>
            <w:r>
              <w:rPr>
                <w:color w:val="231F20"/>
                <w:sz w:val="23"/>
              </w:rPr>
              <w:t>市民政局</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780" w:hRule="atLeast"/>
        </w:trPr>
        <w:tc>
          <w:tcPr>
            <w:tcW w:w="771" w:type="dxa"/>
            <w:tcBorders>
              <w:top w:val="single" w:color="231F20" w:sz="4" w:space="0"/>
              <w:right w:val="single" w:color="231F20" w:sz="4" w:space="0"/>
            </w:tcBorders>
          </w:tcPr>
          <w:p>
            <w:pPr>
              <w:pStyle w:val="7"/>
              <w:spacing w:before="13"/>
              <w:jc w:val="left"/>
              <w:rPr>
                <w:rFonts w:ascii="方正楷体_GBK"/>
                <w:sz w:val="18"/>
              </w:rPr>
            </w:pPr>
          </w:p>
          <w:p>
            <w:pPr>
              <w:pStyle w:val="7"/>
              <w:ind w:left="14" w:right="14"/>
              <w:rPr>
                <w:rFonts w:ascii="Times New Roman"/>
                <w:sz w:val="23"/>
              </w:rPr>
            </w:pPr>
            <w:r>
              <w:rPr>
                <w:rFonts w:ascii="Times New Roman"/>
                <w:color w:val="231F20"/>
                <w:sz w:val="23"/>
              </w:rPr>
              <w:t>1.15</w:t>
            </w:r>
          </w:p>
        </w:tc>
        <w:tc>
          <w:tcPr>
            <w:tcW w:w="3174" w:type="dxa"/>
            <w:tcBorders>
              <w:top w:val="single" w:color="231F20" w:sz="4" w:space="0"/>
              <w:left w:val="single" w:color="231F20" w:sz="4" w:space="0"/>
              <w:right w:val="single" w:color="231F20" w:sz="4" w:space="0"/>
            </w:tcBorders>
          </w:tcPr>
          <w:p>
            <w:pPr>
              <w:pStyle w:val="7"/>
              <w:spacing w:before="93" w:line="211" w:lineRule="auto"/>
              <w:ind w:left="25"/>
              <w:jc w:val="left"/>
              <w:rPr>
                <w:sz w:val="23"/>
              </w:rPr>
            </w:pPr>
            <w:r>
              <w:rPr>
                <w:color w:val="231F20"/>
                <w:sz w:val="23"/>
              </w:rPr>
              <w:t>示范性老年友好社区 （活力发展社区） 数（个）</w:t>
            </w:r>
          </w:p>
        </w:tc>
        <w:tc>
          <w:tcPr>
            <w:tcW w:w="1198" w:type="dxa"/>
            <w:tcBorders>
              <w:top w:val="single" w:color="231F20" w:sz="4" w:space="0"/>
              <w:left w:val="single" w:color="231F20" w:sz="4" w:space="0"/>
              <w:right w:val="single" w:color="231F20" w:sz="4" w:space="0"/>
            </w:tcBorders>
          </w:tcPr>
          <w:p>
            <w:pPr>
              <w:pStyle w:val="7"/>
              <w:spacing w:before="13"/>
              <w:jc w:val="left"/>
              <w:rPr>
                <w:rFonts w:ascii="方正楷体_GBK"/>
                <w:sz w:val="18"/>
              </w:rPr>
            </w:pPr>
          </w:p>
          <w:p>
            <w:pPr>
              <w:pStyle w:val="7"/>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right w:val="single" w:color="231F20" w:sz="4" w:space="0"/>
            </w:tcBorders>
          </w:tcPr>
          <w:p>
            <w:pPr>
              <w:pStyle w:val="7"/>
              <w:spacing w:before="13"/>
              <w:jc w:val="left"/>
              <w:rPr>
                <w:rFonts w:ascii="方正楷体_GBK"/>
                <w:sz w:val="18"/>
              </w:rPr>
            </w:pPr>
          </w:p>
          <w:p>
            <w:pPr>
              <w:pStyle w:val="7"/>
              <w:ind w:left="12" w:right="10"/>
              <w:rPr>
                <w:rFonts w:ascii="Times New Roman"/>
                <w:sz w:val="23"/>
              </w:rPr>
            </w:pPr>
            <w:r>
              <w:rPr>
                <w:rFonts w:ascii="Times New Roman"/>
                <w:color w:val="231F20"/>
                <w:sz w:val="23"/>
              </w:rPr>
              <w:t>30</w:t>
            </w:r>
          </w:p>
        </w:tc>
        <w:tc>
          <w:tcPr>
            <w:tcW w:w="950" w:type="dxa"/>
            <w:tcBorders>
              <w:top w:val="single" w:color="231F20" w:sz="4" w:space="0"/>
              <w:left w:val="single" w:color="231F20" w:sz="4" w:space="0"/>
              <w:right w:val="single" w:color="231F20" w:sz="4" w:space="0"/>
            </w:tcBorders>
          </w:tcPr>
          <w:p>
            <w:pPr>
              <w:pStyle w:val="7"/>
              <w:spacing w:before="200"/>
              <w:ind w:left="112"/>
              <w:jc w:val="left"/>
              <w:rPr>
                <w:sz w:val="23"/>
              </w:rPr>
            </w:pPr>
            <w:r>
              <w:rPr>
                <w:color w:val="231F20"/>
                <w:sz w:val="23"/>
              </w:rPr>
              <w:t>预期性</w:t>
            </w:r>
          </w:p>
        </w:tc>
        <w:tc>
          <w:tcPr>
            <w:tcW w:w="1523" w:type="dxa"/>
            <w:tcBorders>
              <w:top w:val="single" w:color="231F20" w:sz="4" w:space="0"/>
              <w:left w:val="single" w:color="231F20" w:sz="4" w:space="0"/>
            </w:tcBorders>
          </w:tcPr>
          <w:p>
            <w:pPr>
              <w:pStyle w:val="7"/>
              <w:spacing w:before="200"/>
              <w:ind w:left="46" w:right="44"/>
              <w:rPr>
                <w:sz w:val="23"/>
              </w:rPr>
            </w:pPr>
            <w:r>
              <w:rPr>
                <w:color w:val="231F20"/>
                <w:sz w:val="23"/>
              </w:rPr>
              <w:t>市卫生健康委</w:t>
            </w:r>
          </w:p>
        </w:tc>
      </w:tr>
    </w:tbl>
    <w:p>
      <w:pPr>
        <w:spacing w:after="0"/>
        <w:rPr>
          <w:sz w:val="23"/>
        </w:rPr>
        <w:sectPr>
          <w:pgSz w:w="11910" w:h="16840"/>
          <w:pgMar w:top="1580" w:right="1360" w:bottom="1940" w:left="1420" w:header="0" w:footer="1755" w:gutter="0"/>
          <w:cols w:space="720" w:num="1"/>
        </w:sectPr>
      </w:pPr>
    </w:p>
    <w:p>
      <w:pPr>
        <w:pStyle w:val="2"/>
        <w:spacing w:before="10" w:after="1"/>
        <w:rPr>
          <w:rFonts w:ascii="方正楷体_GBK"/>
          <w:sz w:val="14"/>
        </w:rPr>
      </w:pPr>
    </w:p>
    <w:tbl>
      <w:tblPr>
        <w:tblStyle w:val="3"/>
        <w:tblW w:w="0" w:type="auto"/>
        <w:tblInd w:w="144"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771"/>
        <w:gridCol w:w="3174"/>
        <w:gridCol w:w="1198"/>
        <w:gridCol w:w="1212"/>
        <w:gridCol w:w="950"/>
        <w:gridCol w:w="1523"/>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00" w:hRule="atLeast"/>
        </w:trPr>
        <w:tc>
          <w:tcPr>
            <w:tcW w:w="771" w:type="dxa"/>
            <w:tcBorders>
              <w:bottom w:val="single" w:color="231F20" w:sz="4" w:space="0"/>
              <w:right w:val="single" w:color="231F20" w:sz="4" w:space="0"/>
            </w:tcBorders>
          </w:tcPr>
          <w:p>
            <w:pPr>
              <w:pStyle w:val="7"/>
              <w:spacing w:before="154"/>
              <w:ind w:left="14" w:right="14"/>
              <w:rPr>
                <w:rFonts w:hint="eastAsia" w:ascii="方正黑体_GBK" w:eastAsia="方正黑体_GBK"/>
                <w:sz w:val="23"/>
              </w:rPr>
            </w:pPr>
            <w:r>
              <w:rPr>
                <w:rFonts w:hint="eastAsia" w:ascii="方正黑体_GBK" w:eastAsia="方正黑体_GBK"/>
                <w:color w:val="231F20"/>
                <w:sz w:val="23"/>
              </w:rPr>
              <w:t>序号</w:t>
            </w:r>
          </w:p>
        </w:tc>
        <w:tc>
          <w:tcPr>
            <w:tcW w:w="3174" w:type="dxa"/>
            <w:tcBorders>
              <w:left w:val="single" w:color="231F20" w:sz="4" w:space="0"/>
              <w:bottom w:val="single" w:color="231F20" w:sz="4" w:space="0"/>
              <w:right w:val="single" w:color="231F20" w:sz="4" w:space="0"/>
            </w:tcBorders>
          </w:tcPr>
          <w:p>
            <w:pPr>
              <w:pStyle w:val="7"/>
              <w:spacing w:before="154"/>
              <w:ind w:left="1101" w:right="1101"/>
              <w:rPr>
                <w:rFonts w:hint="eastAsia" w:ascii="方正黑体_GBK" w:eastAsia="方正黑体_GBK"/>
                <w:sz w:val="23"/>
              </w:rPr>
            </w:pPr>
            <w:r>
              <w:rPr>
                <w:rFonts w:hint="eastAsia" w:ascii="方正黑体_GBK" w:eastAsia="方正黑体_GBK"/>
                <w:color w:val="231F20"/>
                <w:sz w:val="23"/>
              </w:rPr>
              <w:t>具体指标</w:t>
            </w:r>
          </w:p>
        </w:tc>
        <w:tc>
          <w:tcPr>
            <w:tcW w:w="1198" w:type="dxa"/>
            <w:tcBorders>
              <w:left w:val="single" w:color="231F20" w:sz="4" w:space="0"/>
              <w:bottom w:val="single" w:color="231F20" w:sz="4" w:space="0"/>
              <w:right w:val="single" w:color="231F20" w:sz="4" w:space="0"/>
            </w:tcBorders>
          </w:tcPr>
          <w:p>
            <w:pPr>
              <w:pStyle w:val="7"/>
              <w:spacing w:before="6" w:line="318" w:lineRule="exact"/>
              <w:ind w:left="5" w:right="5"/>
              <w:rPr>
                <w:rFonts w:hint="eastAsia" w:ascii="方正黑体_GBK" w:eastAsia="方正黑体_GBK"/>
                <w:sz w:val="23"/>
              </w:rPr>
            </w:pPr>
            <w:r>
              <w:rPr>
                <w:rFonts w:hint="eastAsia" w:ascii="方正黑体_GBK" w:eastAsia="方正黑体_GBK"/>
                <w:color w:val="231F20"/>
                <w:sz w:val="23"/>
              </w:rPr>
              <w:t>当前值</w:t>
            </w:r>
          </w:p>
          <w:p>
            <w:pPr>
              <w:pStyle w:val="7"/>
              <w:spacing w:line="318" w:lineRule="exact"/>
              <w:ind w:left="5" w:right="5"/>
              <w:rPr>
                <w:rFonts w:hint="eastAsia" w:ascii="方正黑体_GBK" w:eastAsia="方正黑体_GBK"/>
                <w:sz w:val="23"/>
              </w:rPr>
            </w:pPr>
            <w:r>
              <w:rPr>
                <w:rFonts w:hint="eastAsia" w:ascii="方正黑体_GBK" w:eastAsia="方正黑体_GBK"/>
                <w:color w:val="231F20"/>
                <w:spacing w:val="-8"/>
                <w:sz w:val="23"/>
              </w:rPr>
              <w:t>（</w:t>
            </w:r>
            <w:r>
              <w:rPr>
                <w:rFonts w:ascii="Times New Roman" w:eastAsia="Times New Roman"/>
                <w:color w:val="231F20"/>
                <w:spacing w:val="-8"/>
                <w:sz w:val="23"/>
              </w:rPr>
              <w:t xml:space="preserve">2020 </w:t>
            </w:r>
            <w:r>
              <w:rPr>
                <w:rFonts w:hint="eastAsia" w:ascii="方正黑体_GBK" w:eastAsia="方正黑体_GBK"/>
                <w:color w:val="231F20"/>
                <w:spacing w:val="-43"/>
                <w:sz w:val="23"/>
              </w:rPr>
              <w:t xml:space="preserve">年 </w:t>
            </w:r>
            <w:r>
              <w:rPr>
                <w:rFonts w:hint="eastAsia" w:ascii="方正黑体_GBK" w:eastAsia="方正黑体_GBK"/>
                <w:color w:val="231F20"/>
                <w:sz w:val="23"/>
              </w:rPr>
              <w:t>）</w:t>
            </w:r>
          </w:p>
        </w:tc>
        <w:tc>
          <w:tcPr>
            <w:tcW w:w="1212" w:type="dxa"/>
            <w:tcBorders>
              <w:left w:val="single" w:color="231F20" w:sz="4" w:space="0"/>
              <w:bottom w:val="single" w:color="231F20" w:sz="4" w:space="0"/>
              <w:right w:val="single" w:color="231F20" w:sz="4" w:space="0"/>
            </w:tcBorders>
          </w:tcPr>
          <w:p>
            <w:pPr>
              <w:pStyle w:val="7"/>
              <w:spacing w:before="6" w:line="318" w:lineRule="exact"/>
              <w:ind w:left="12" w:right="12"/>
              <w:rPr>
                <w:rFonts w:hint="eastAsia" w:ascii="方正黑体_GBK" w:eastAsia="方正黑体_GBK"/>
                <w:sz w:val="23"/>
              </w:rPr>
            </w:pPr>
            <w:r>
              <w:rPr>
                <w:rFonts w:hint="eastAsia" w:ascii="方正黑体_GBK" w:eastAsia="方正黑体_GBK"/>
                <w:color w:val="231F20"/>
                <w:sz w:val="23"/>
              </w:rPr>
              <w:t>目标值</w:t>
            </w:r>
          </w:p>
          <w:p>
            <w:pPr>
              <w:pStyle w:val="7"/>
              <w:spacing w:line="318" w:lineRule="exact"/>
              <w:ind w:left="12" w:right="12"/>
              <w:rPr>
                <w:rFonts w:hint="eastAsia" w:ascii="方正黑体_GBK" w:eastAsia="方正黑体_GBK"/>
                <w:sz w:val="23"/>
              </w:rPr>
            </w:pPr>
            <w:r>
              <w:rPr>
                <w:rFonts w:hint="eastAsia" w:ascii="方正黑体_GBK" w:eastAsia="方正黑体_GBK"/>
                <w:color w:val="231F20"/>
                <w:spacing w:val="-8"/>
                <w:sz w:val="23"/>
              </w:rPr>
              <w:t>（</w:t>
            </w:r>
            <w:r>
              <w:rPr>
                <w:rFonts w:ascii="Times New Roman" w:eastAsia="Times New Roman"/>
                <w:color w:val="231F20"/>
                <w:spacing w:val="-8"/>
                <w:sz w:val="23"/>
              </w:rPr>
              <w:t xml:space="preserve">2025 </w:t>
            </w:r>
            <w:r>
              <w:rPr>
                <w:rFonts w:hint="eastAsia" w:ascii="方正黑体_GBK" w:eastAsia="方正黑体_GBK"/>
                <w:color w:val="231F20"/>
                <w:spacing w:val="-43"/>
                <w:sz w:val="23"/>
              </w:rPr>
              <w:t xml:space="preserve">年 </w:t>
            </w:r>
            <w:r>
              <w:rPr>
                <w:rFonts w:hint="eastAsia" w:ascii="方正黑体_GBK" w:eastAsia="方正黑体_GBK"/>
                <w:color w:val="231F20"/>
                <w:sz w:val="23"/>
              </w:rPr>
              <w:t>）</w:t>
            </w:r>
          </w:p>
        </w:tc>
        <w:tc>
          <w:tcPr>
            <w:tcW w:w="950" w:type="dxa"/>
            <w:tcBorders>
              <w:left w:val="single" w:color="231F20" w:sz="4" w:space="0"/>
              <w:bottom w:val="single" w:color="231F20" w:sz="4" w:space="0"/>
              <w:right w:val="single" w:color="231F20" w:sz="4" w:space="0"/>
            </w:tcBorders>
          </w:tcPr>
          <w:p>
            <w:pPr>
              <w:pStyle w:val="7"/>
              <w:spacing w:before="46" w:line="211" w:lineRule="auto"/>
              <w:ind w:left="232" w:right="227"/>
              <w:jc w:val="left"/>
              <w:rPr>
                <w:rFonts w:hint="eastAsia" w:ascii="方正黑体_GBK" w:eastAsia="方正黑体_GBK"/>
                <w:sz w:val="23"/>
              </w:rPr>
            </w:pPr>
            <w:r>
              <w:rPr>
                <w:rFonts w:hint="eastAsia" w:ascii="方正黑体_GBK" w:eastAsia="方正黑体_GBK"/>
                <w:color w:val="231F20"/>
                <w:sz w:val="23"/>
              </w:rPr>
              <w:t>指标属性</w:t>
            </w:r>
          </w:p>
        </w:tc>
        <w:tc>
          <w:tcPr>
            <w:tcW w:w="1523" w:type="dxa"/>
            <w:tcBorders>
              <w:left w:val="single" w:color="231F20" w:sz="4" w:space="0"/>
              <w:bottom w:val="single" w:color="231F20" w:sz="4" w:space="0"/>
            </w:tcBorders>
          </w:tcPr>
          <w:p>
            <w:pPr>
              <w:pStyle w:val="7"/>
              <w:spacing w:before="154"/>
              <w:ind w:left="46" w:right="44"/>
              <w:rPr>
                <w:rFonts w:hint="eastAsia" w:ascii="方正黑体_GBK" w:eastAsia="方正黑体_GBK"/>
                <w:sz w:val="23"/>
              </w:rPr>
            </w:pPr>
            <w:r>
              <w:rPr>
                <w:rFonts w:hint="eastAsia" w:ascii="方正黑体_GBK" w:eastAsia="方正黑体_GBK"/>
                <w:color w:val="231F20"/>
                <w:sz w:val="23"/>
              </w:rPr>
              <w:t>责任单位</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37"/>
              <w:ind w:left="14" w:right="14"/>
              <w:rPr>
                <w:rFonts w:hint="eastAsia" w:ascii="方正楷体_GBK" w:eastAsia="方正楷体_GBK"/>
                <w:sz w:val="23"/>
              </w:rPr>
            </w:pPr>
            <w:r>
              <w:rPr>
                <w:rFonts w:hint="eastAsia" w:ascii="方正楷体_GBK" w:eastAsia="方正楷体_GBK"/>
                <w:color w:val="231F20"/>
                <w:sz w:val="23"/>
              </w:rPr>
              <w:t>（二）</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7"/>
              <w:ind w:left="25"/>
              <w:jc w:val="left"/>
              <w:rPr>
                <w:rFonts w:hint="eastAsia" w:ascii="方正楷体_GBK" w:eastAsia="方正楷体_GBK"/>
                <w:sz w:val="23"/>
              </w:rPr>
            </w:pPr>
            <w:r>
              <w:rPr>
                <w:rFonts w:hint="eastAsia" w:ascii="方正楷体_GBK" w:eastAsia="方正楷体_GBK"/>
                <w:color w:val="231F20"/>
                <w:sz w:val="23"/>
              </w:rPr>
              <w:t>托育方面</w:t>
            </w:r>
          </w:p>
        </w:tc>
        <w:tc>
          <w:tcPr>
            <w:tcW w:w="1198"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6"/>
              </w:rPr>
            </w:pPr>
          </w:p>
        </w:tc>
        <w:tc>
          <w:tcPr>
            <w:tcW w:w="1212"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6"/>
              </w:rPr>
            </w:pPr>
          </w:p>
        </w:tc>
        <w:tc>
          <w:tcPr>
            <w:tcW w:w="950" w:type="dxa"/>
            <w:tcBorders>
              <w:top w:val="single" w:color="231F20" w:sz="4" w:space="0"/>
              <w:left w:val="single" w:color="231F20" w:sz="4" w:space="0"/>
              <w:bottom w:val="single" w:color="231F20" w:sz="4" w:space="0"/>
              <w:right w:val="single" w:color="231F20" w:sz="4" w:space="0"/>
            </w:tcBorders>
          </w:tcPr>
          <w:p>
            <w:pPr>
              <w:pStyle w:val="7"/>
              <w:jc w:val="left"/>
              <w:rPr>
                <w:rFonts w:ascii="Times New Roman"/>
                <w:sz w:val="26"/>
              </w:rPr>
            </w:pPr>
          </w:p>
        </w:tc>
        <w:tc>
          <w:tcPr>
            <w:tcW w:w="1523" w:type="dxa"/>
            <w:tcBorders>
              <w:top w:val="single" w:color="231F20" w:sz="4" w:space="0"/>
              <w:left w:val="single" w:color="231F20" w:sz="4" w:space="0"/>
              <w:bottom w:val="single" w:color="231F20" w:sz="4" w:space="0"/>
            </w:tcBorders>
          </w:tcPr>
          <w:p>
            <w:pPr>
              <w:pStyle w:val="7"/>
              <w:jc w:val="left"/>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00" w:hRule="atLeast"/>
        </w:trPr>
        <w:tc>
          <w:tcPr>
            <w:tcW w:w="771" w:type="dxa"/>
            <w:tcBorders>
              <w:top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14" w:right="14"/>
              <w:rPr>
                <w:rFonts w:ascii="Times New Roman"/>
                <w:sz w:val="23"/>
              </w:rPr>
            </w:pPr>
            <w:r>
              <w:rPr>
                <w:rFonts w:ascii="Times New Roman"/>
                <w:color w:val="231F20"/>
                <w:sz w:val="23"/>
              </w:rPr>
              <w:t>2.1</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99" w:line="211" w:lineRule="auto"/>
              <w:ind w:left="25"/>
              <w:jc w:val="left"/>
              <w:rPr>
                <w:sz w:val="23"/>
              </w:rPr>
            </w:pPr>
            <w:r>
              <w:rPr>
                <w:color w:val="231F20"/>
                <w:sz w:val="23"/>
              </w:rPr>
              <w:t>新生儿访视等基本公共服务覆盖率（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12" w:right="12"/>
              <w:rPr>
                <w:rFonts w:ascii="Times New Roman"/>
                <w:sz w:val="23"/>
              </w:rPr>
            </w:pPr>
            <w:r>
              <w:rPr>
                <w:rFonts w:ascii="Times New Roman"/>
                <w:color w:val="231F20"/>
                <w:sz w:val="23"/>
              </w:rPr>
              <w:t>85%</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7"/>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207"/>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40" w:hRule="atLeast"/>
        </w:trPr>
        <w:tc>
          <w:tcPr>
            <w:tcW w:w="771" w:type="dxa"/>
            <w:tcBorders>
              <w:top w:val="single" w:color="231F20" w:sz="4" w:space="0"/>
              <w:bottom w:val="single" w:color="231F20" w:sz="4" w:space="0"/>
              <w:right w:val="single" w:color="231F20" w:sz="4" w:space="0"/>
            </w:tcBorders>
          </w:tcPr>
          <w:p>
            <w:pPr>
              <w:pStyle w:val="7"/>
              <w:spacing w:before="96"/>
              <w:ind w:left="14" w:right="14"/>
              <w:rPr>
                <w:rFonts w:ascii="Times New Roman"/>
                <w:sz w:val="23"/>
              </w:rPr>
            </w:pPr>
            <w:r>
              <w:rPr>
                <w:rFonts w:ascii="Times New Roman"/>
                <w:color w:val="231F20"/>
                <w:sz w:val="23"/>
              </w:rPr>
              <w:t>2.2</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28"/>
              <w:ind w:left="25" w:right="-32"/>
              <w:jc w:val="left"/>
              <w:rPr>
                <w:sz w:val="23"/>
              </w:rPr>
            </w:pPr>
            <w:r>
              <w:rPr>
                <w:color w:val="231F20"/>
                <w:spacing w:val="-1"/>
                <w:sz w:val="23"/>
              </w:rPr>
              <w:t>家庭科学养育指导到位率</w:t>
            </w:r>
            <w:r>
              <w:rPr>
                <w:color w:val="231F20"/>
                <w:spacing w:val="-28"/>
                <w:sz w:val="23"/>
              </w:rPr>
              <w:t>（</w:t>
            </w:r>
            <w:r>
              <w:rPr>
                <w:rFonts w:ascii="Times New Roman" w:eastAsia="Times New Roman"/>
                <w:color w:val="231F20"/>
                <w:spacing w:val="-28"/>
                <w:sz w:val="23"/>
              </w:rPr>
              <w:t>%</w:t>
            </w:r>
            <w:r>
              <w:rPr>
                <w:color w:val="231F20"/>
                <w:spacing w:val="-28"/>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96"/>
              <w:ind w:left="5" w:right="5"/>
              <w:rPr>
                <w:rFonts w:ascii="Times New Roman"/>
                <w:sz w:val="23"/>
              </w:rPr>
            </w:pPr>
            <w:r>
              <w:rPr>
                <w:rFonts w:ascii="Times New Roman"/>
                <w:color w:val="231F20"/>
                <w:sz w:val="23"/>
              </w:rPr>
              <w:t>60%</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96"/>
              <w:ind w:left="12" w:right="12"/>
              <w:rPr>
                <w:rFonts w:ascii="Times New Roman"/>
                <w:sz w:val="23"/>
              </w:rPr>
            </w:pPr>
            <w:r>
              <w:rPr>
                <w:rFonts w:ascii="Times New Roman"/>
                <w:color w:val="231F20"/>
                <w:sz w:val="23"/>
              </w:rPr>
              <w:t>80%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8"/>
              <w:ind w:right="110"/>
              <w:jc w:val="righ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28"/>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2.3</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托育机构登记备案率（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5" w:right="5"/>
              <w:rPr>
                <w:rFonts w:ascii="Times New Roman"/>
                <w:sz w:val="23"/>
              </w:rPr>
            </w:pPr>
            <w:r>
              <w:rPr>
                <w:rFonts w:ascii="Times New Roman"/>
                <w:color w:val="231F20"/>
                <w:sz w:val="23"/>
              </w:rPr>
              <w:t>6%</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2"/>
              <w:rPr>
                <w:rFonts w:ascii="Times New Roman"/>
                <w:sz w:val="23"/>
              </w:rPr>
            </w:pPr>
            <w:r>
              <w:rPr>
                <w:rFonts w:ascii="Times New Roman"/>
                <w:color w:val="231F20"/>
                <w:sz w:val="23"/>
              </w:rPr>
              <w:t>60%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00" w:hRule="atLeast"/>
        </w:trPr>
        <w:tc>
          <w:tcPr>
            <w:tcW w:w="771" w:type="dxa"/>
            <w:tcBorders>
              <w:top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14" w:right="14"/>
              <w:rPr>
                <w:rFonts w:ascii="Times New Roman"/>
                <w:sz w:val="23"/>
              </w:rPr>
            </w:pPr>
            <w:r>
              <w:rPr>
                <w:rFonts w:ascii="Times New Roman"/>
                <w:color w:val="231F20"/>
                <w:sz w:val="23"/>
              </w:rPr>
              <w:t>2.4</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58" w:line="318" w:lineRule="exact"/>
              <w:ind w:left="25"/>
              <w:jc w:val="left"/>
              <w:rPr>
                <w:sz w:val="23"/>
              </w:rPr>
            </w:pPr>
            <w:r>
              <w:rPr>
                <w:color w:val="231F20"/>
                <w:sz w:val="23"/>
              </w:rPr>
              <w:t>示范性婴幼儿照护服务机构数</w:t>
            </w:r>
          </w:p>
          <w:p>
            <w:pPr>
              <w:pStyle w:val="7"/>
              <w:spacing w:line="318" w:lineRule="exact"/>
              <w:ind w:left="-26"/>
              <w:jc w:val="left"/>
              <w:rPr>
                <w:sz w:val="23"/>
              </w:rPr>
            </w:pPr>
            <w:r>
              <w:rPr>
                <w:color w:val="231F20"/>
                <w:spacing w:val="-64"/>
                <w:sz w:val="23"/>
              </w:rPr>
              <w:t>（</w:t>
            </w:r>
            <w:r>
              <w:rPr>
                <w:color w:val="231F20"/>
                <w:spacing w:val="-32"/>
                <w:sz w:val="23"/>
              </w:rPr>
              <w:t>家</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5" w:right="3"/>
              <w:rPr>
                <w:rFonts w:ascii="Times New Roman"/>
                <w:sz w:val="23"/>
              </w:rPr>
            </w:pPr>
            <w:r>
              <w:rPr>
                <w:rFonts w:ascii="Times New Roman"/>
                <w:color w:val="231F20"/>
                <w:sz w:val="23"/>
              </w:rPr>
              <w:t>11</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5"/>
              <w:jc w:val="left"/>
              <w:rPr>
                <w:rFonts w:ascii="方正楷体_GBK"/>
                <w:sz w:val="19"/>
              </w:rPr>
            </w:pPr>
          </w:p>
          <w:p>
            <w:pPr>
              <w:pStyle w:val="7"/>
              <w:ind w:left="12" w:right="10"/>
              <w:rPr>
                <w:rFonts w:ascii="Times New Roman"/>
                <w:sz w:val="23"/>
              </w:rPr>
            </w:pPr>
            <w:r>
              <w:rPr>
                <w:rFonts w:ascii="Times New Roman"/>
                <w:color w:val="231F20"/>
                <w:sz w:val="23"/>
              </w:rPr>
              <w:t>30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207"/>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207"/>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2.5</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每千人口托位数（个）</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5" w:right="3"/>
              <w:rPr>
                <w:rFonts w:ascii="Times New Roman"/>
                <w:sz w:val="23"/>
              </w:rPr>
            </w:pPr>
            <w:r>
              <w:rPr>
                <w:rFonts w:ascii="Times New Roman"/>
                <w:color w:val="231F20"/>
                <w:sz w:val="23"/>
              </w:rPr>
              <w:t>1.9</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0"/>
              <w:rPr>
                <w:rFonts w:ascii="Times New Roman"/>
                <w:sz w:val="23"/>
              </w:rPr>
            </w:pPr>
            <w:r>
              <w:rPr>
                <w:rFonts w:ascii="Times New Roman"/>
                <w:color w:val="231F20"/>
                <w:sz w:val="23"/>
              </w:rPr>
              <w:t>4.5</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2.6</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普惠性托位占比（</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5" w:right="5"/>
              <w:rPr>
                <w:rFonts w:ascii="Times New Roman"/>
                <w:sz w:val="23"/>
              </w:rPr>
            </w:pPr>
            <w:r>
              <w:rPr>
                <w:rFonts w:ascii="Times New Roman"/>
                <w:color w:val="231F20"/>
                <w:sz w:val="23"/>
              </w:rPr>
              <w:t>26%</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2"/>
              <w:rPr>
                <w:rFonts w:ascii="Times New Roman"/>
                <w:sz w:val="23"/>
              </w:rPr>
            </w:pPr>
            <w:r>
              <w:rPr>
                <w:rFonts w:ascii="Times New Roman"/>
                <w:color w:val="231F20"/>
                <w:sz w:val="23"/>
              </w:rPr>
              <w:t>60%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2.7</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社区托育服务覆盖率（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2"/>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2.8</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托育服务专业人才数（人）</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5" w:right="3"/>
              <w:rPr>
                <w:rFonts w:ascii="Times New Roman"/>
                <w:sz w:val="23"/>
              </w:rPr>
            </w:pPr>
            <w:r>
              <w:rPr>
                <w:rFonts w:ascii="Times New Roman"/>
                <w:color w:val="231F20"/>
                <w:sz w:val="23"/>
              </w:rPr>
              <w:t>4000</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0"/>
              <w:rPr>
                <w:rFonts w:ascii="Times New Roman"/>
                <w:sz w:val="23"/>
              </w:rPr>
            </w:pPr>
            <w:r>
              <w:rPr>
                <w:rFonts w:ascii="Times New Roman"/>
                <w:color w:val="231F20"/>
                <w:sz w:val="23"/>
              </w:rPr>
              <w:t>10000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72"/>
              <w:rPr>
                <w:rFonts w:ascii="Times New Roman"/>
                <w:sz w:val="23"/>
              </w:rPr>
            </w:pPr>
            <w:r>
              <w:rPr>
                <w:rFonts w:ascii="Times New Roman"/>
                <w:color w:val="231F20"/>
                <w:sz w:val="23"/>
              </w:rPr>
              <w:t>2.9</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从业人员持证上岗率（</w:t>
            </w:r>
            <w:r>
              <w:rPr>
                <w:rFonts w:ascii="Times New Roman" w:eastAsia="Times New Roman"/>
                <w:color w:val="231F20"/>
                <w:sz w:val="23"/>
              </w:rPr>
              <w:t>%</w:t>
            </w:r>
            <w:r>
              <w:rPr>
                <w:color w:val="231F20"/>
                <w:sz w:val="23"/>
              </w:rPr>
              <w:t>）</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5" w:right="5"/>
              <w:rPr>
                <w:rFonts w:ascii="Times New Roman"/>
                <w:sz w:val="23"/>
              </w:rPr>
            </w:pPr>
            <w:r>
              <w:rPr>
                <w:rFonts w:ascii="Times New Roman"/>
                <w:color w:val="231F20"/>
                <w:sz w:val="23"/>
              </w:rPr>
              <w:t>80%</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2"/>
              <w:rPr>
                <w:rFonts w:ascii="Times New Roman"/>
                <w:sz w:val="23"/>
              </w:rPr>
            </w:pPr>
            <w:r>
              <w:rPr>
                <w:rFonts w:ascii="Times New Roman"/>
                <w:color w:val="231F20"/>
                <w:sz w:val="23"/>
              </w:rPr>
              <w:t>100%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约束性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771" w:type="dxa"/>
            <w:tcBorders>
              <w:top w:val="single" w:color="231F20" w:sz="4" w:space="0"/>
              <w:bottom w:val="single" w:color="231F20" w:sz="4" w:space="0"/>
              <w:right w:val="single" w:color="231F20" w:sz="4" w:space="0"/>
            </w:tcBorders>
          </w:tcPr>
          <w:p>
            <w:pPr>
              <w:pStyle w:val="7"/>
              <w:spacing w:before="102"/>
              <w:ind w:left="14" w:right="14"/>
              <w:rPr>
                <w:rFonts w:ascii="Times New Roman"/>
                <w:sz w:val="23"/>
              </w:rPr>
            </w:pPr>
            <w:r>
              <w:rPr>
                <w:rFonts w:ascii="Times New Roman"/>
                <w:color w:val="231F20"/>
                <w:sz w:val="23"/>
              </w:rPr>
              <w:t>2.10</w:t>
            </w:r>
          </w:p>
        </w:tc>
        <w:tc>
          <w:tcPr>
            <w:tcW w:w="3174" w:type="dxa"/>
            <w:tcBorders>
              <w:top w:val="single" w:color="231F20" w:sz="4" w:space="0"/>
              <w:left w:val="single" w:color="231F20" w:sz="4" w:space="0"/>
              <w:bottom w:val="single" w:color="231F20" w:sz="4" w:space="0"/>
              <w:right w:val="single" w:color="231F20" w:sz="4" w:space="0"/>
            </w:tcBorders>
          </w:tcPr>
          <w:p>
            <w:pPr>
              <w:pStyle w:val="7"/>
              <w:spacing w:before="34"/>
              <w:ind w:left="25"/>
              <w:jc w:val="left"/>
              <w:rPr>
                <w:sz w:val="23"/>
              </w:rPr>
            </w:pPr>
            <w:r>
              <w:rPr>
                <w:color w:val="231F20"/>
                <w:sz w:val="23"/>
              </w:rPr>
              <w:t>骨干托育企业数量（家）</w:t>
            </w:r>
          </w:p>
        </w:tc>
        <w:tc>
          <w:tcPr>
            <w:tcW w:w="1198" w:type="dxa"/>
            <w:tcBorders>
              <w:top w:val="single" w:color="231F20" w:sz="4" w:space="0"/>
              <w:left w:val="single" w:color="231F20" w:sz="4" w:space="0"/>
              <w:bottom w:val="single" w:color="231F20" w:sz="4" w:space="0"/>
              <w:right w:val="single" w:color="231F20" w:sz="4" w:space="0"/>
            </w:tcBorders>
          </w:tcPr>
          <w:p>
            <w:pPr>
              <w:pStyle w:val="7"/>
              <w:spacing w:before="102"/>
              <w:ind w:left="3"/>
              <w:rPr>
                <w:rFonts w:ascii="Times New Roman"/>
                <w:sz w:val="23"/>
              </w:rPr>
            </w:pPr>
            <w:r>
              <w:rPr>
                <w:rFonts w:ascii="Times New Roman"/>
                <w:color w:val="231F20"/>
                <w:w w:val="102"/>
                <w:sz w:val="23"/>
              </w:rPr>
              <w:t>-</w:t>
            </w:r>
          </w:p>
        </w:tc>
        <w:tc>
          <w:tcPr>
            <w:tcW w:w="1212" w:type="dxa"/>
            <w:tcBorders>
              <w:top w:val="single" w:color="231F20" w:sz="4" w:space="0"/>
              <w:left w:val="single" w:color="231F20" w:sz="4" w:space="0"/>
              <w:bottom w:val="single" w:color="231F20" w:sz="4" w:space="0"/>
              <w:right w:val="single" w:color="231F20" w:sz="4" w:space="0"/>
            </w:tcBorders>
          </w:tcPr>
          <w:p>
            <w:pPr>
              <w:pStyle w:val="7"/>
              <w:spacing w:before="102"/>
              <w:ind w:left="12" w:right="10"/>
              <w:rPr>
                <w:rFonts w:ascii="Times New Roman"/>
                <w:sz w:val="23"/>
              </w:rPr>
            </w:pPr>
            <w:r>
              <w:rPr>
                <w:rFonts w:ascii="Times New Roman"/>
                <w:color w:val="231F20"/>
                <w:sz w:val="23"/>
              </w:rPr>
              <w:t>20</w:t>
            </w:r>
          </w:p>
        </w:tc>
        <w:tc>
          <w:tcPr>
            <w:tcW w:w="950" w:type="dxa"/>
            <w:tcBorders>
              <w:top w:val="single" w:color="231F20" w:sz="4" w:space="0"/>
              <w:left w:val="single" w:color="231F20" w:sz="4" w:space="0"/>
              <w:bottom w:val="single" w:color="231F20" w:sz="4" w:space="0"/>
              <w:right w:val="single" w:color="231F20" w:sz="4" w:space="0"/>
            </w:tcBorders>
          </w:tcPr>
          <w:p>
            <w:pPr>
              <w:pStyle w:val="7"/>
              <w:spacing w:before="34"/>
              <w:ind w:right="110"/>
              <w:jc w:val="right"/>
              <w:rPr>
                <w:sz w:val="23"/>
              </w:rPr>
            </w:pPr>
            <w:r>
              <w:rPr>
                <w:color w:val="231F20"/>
                <w:sz w:val="23"/>
              </w:rPr>
              <w:t>预期性</w:t>
            </w:r>
          </w:p>
        </w:tc>
        <w:tc>
          <w:tcPr>
            <w:tcW w:w="1523" w:type="dxa"/>
            <w:tcBorders>
              <w:top w:val="single" w:color="231F20" w:sz="4" w:space="0"/>
              <w:left w:val="single" w:color="231F20" w:sz="4" w:space="0"/>
              <w:bottom w:val="single" w:color="231F20" w:sz="4" w:space="0"/>
            </w:tcBorders>
          </w:tcPr>
          <w:p>
            <w:pPr>
              <w:pStyle w:val="7"/>
              <w:spacing w:before="34"/>
              <w:ind w:left="46" w:right="44"/>
              <w:rPr>
                <w:sz w:val="23"/>
              </w:rPr>
            </w:pPr>
            <w:r>
              <w:rPr>
                <w:color w:val="231F20"/>
                <w:sz w:val="23"/>
              </w:rPr>
              <w:t>市卫生健康委</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0" w:hRule="atLeast"/>
        </w:trPr>
        <w:tc>
          <w:tcPr>
            <w:tcW w:w="8827" w:type="dxa"/>
            <w:gridSpan w:val="6"/>
            <w:tcBorders>
              <w:top w:val="single" w:color="231F20" w:sz="4" w:space="0"/>
            </w:tcBorders>
          </w:tcPr>
          <w:p>
            <w:pPr>
              <w:pStyle w:val="7"/>
              <w:spacing w:before="42"/>
              <w:ind w:left="23"/>
              <w:jc w:val="left"/>
              <w:rPr>
                <w:rFonts w:hint="eastAsia" w:ascii="方正楷体_GBK" w:eastAsia="方正楷体_GBK"/>
                <w:sz w:val="23"/>
              </w:rPr>
            </w:pPr>
            <w:r>
              <w:rPr>
                <w:rFonts w:hint="eastAsia" w:ascii="方正楷体_GBK" w:eastAsia="方正楷体_GBK"/>
                <w:color w:val="231F20"/>
                <w:sz w:val="23"/>
              </w:rPr>
              <w:t>备注：部分指标在</w:t>
            </w:r>
            <w:r>
              <w:rPr>
                <w:rFonts w:ascii="Times New Roman" w:eastAsia="Times New Roman"/>
                <w:color w:val="231F20"/>
                <w:sz w:val="23"/>
              </w:rPr>
              <w:t xml:space="preserve">2020    </w:t>
            </w:r>
            <w:r>
              <w:rPr>
                <w:rFonts w:hint="eastAsia" w:ascii="方正楷体_GBK" w:eastAsia="方正楷体_GBK"/>
                <w:color w:val="231F20"/>
                <w:sz w:val="23"/>
              </w:rPr>
              <w:t>年度暂无统计口径或暂未开展该项工作，故数据空缺。</w:t>
            </w:r>
          </w:p>
        </w:tc>
      </w:tr>
    </w:tbl>
    <w:p>
      <w:pPr>
        <w:pStyle w:val="2"/>
        <w:spacing w:before="0" w:line="419" w:lineRule="exact"/>
        <w:ind w:left="736"/>
        <w:rPr>
          <w:rFonts w:hint="eastAsia" w:ascii="方正黑体_GBK" w:eastAsia="方正黑体_GBK"/>
        </w:rPr>
      </w:pPr>
      <w:r>
        <w:rPr>
          <w:rFonts w:hint="eastAsia" w:ascii="方正黑体_GBK" w:eastAsia="方正黑体_GBK"/>
          <w:color w:val="231F20"/>
        </w:rPr>
        <w:t>三、重点任务</w:t>
      </w:r>
    </w:p>
    <w:p>
      <w:pPr>
        <w:pStyle w:val="2"/>
        <w:spacing w:before="183"/>
        <w:ind w:left="632"/>
        <w:rPr>
          <w:rFonts w:hint="eastAsia" w:ascii="方正楷体_GBK" w:eastAsia="方正楷体_GBK"/>
        </w:rPr>
      </w:pPr>
      <w:r>
        <w:rPr>
          <w:rFonts w:hint="eastAsia" w:ascii="方正楷体_GBK" w:eastAsia="方正楷体_GBK"/>
          <w:color w:val="231F20"/>
        </w:rPr>
        <w:t>（一） 推进基本养老服务均等化</w:t>
      </w:r>
    </w:p>
    <w:p>
      <w:pPr>
        <w:pStyle w:val="6"/>
        <w:numPr>
          <w:ilvl w:val="2"/>
          <w:numId w:val="3"/>
        </w:numPr>
        <w:tabs>
          <w:tab w:val="left" w:pos="1020"/>
        </w:tabs>
        <w:spacing w:before="175" w:after="0" w:line="338" w:lineRule="auto"/>
        <w:ind w:left="117" w:right="111" w:firstLine="619"/>
        <w:jc w:val="both"/>
        <w:rPr>
          <w:sz w:val="29"/>
        </w:rPr>
      </w:pPr>
      <w:r>
        <w:rPr>
          <w:color w:val="231F20"/>
          <w:spacing w:val="26"/>
          <w:sz w:val="29"/>
        </w:rPr>
        <w:t>强化政府兜底保障职能。市级福利院、区县</w:t>
      </w:r>
      <w:r>
        <w:rPr>
          <w:color w:val="231F20"/>
          <w:spacing w:val="-19"/>
          <w:sz w:val="29"/>
        </w:rPr>
        <w:t>（</w:t>
      </w:r>
      <w:r>
        <w:rPr>
          <w:color w:val="231F20"/>
          <w:spacing w:val="-20"/>
          <w:sz w:val="29"/>
        </w:rPr>
        <w:t>市</w:t>
      </w:r>
      <w:r>
        <w:rPr>
          <w:color w:val="231F20"/>
          <w:sz w:val="29"/>
        </w:rPr>
        <w:t>）</w:t>
      </w:r>
      <w:r>
        <w:rPr>
          <w:color w:val="231F20"/>
          <w:spacing w:val="18"/>
          <w:sz w:val="29"/>
        </w:rPr>
        <w:t xml:space="preserve"> 社会福</w:t>
      </w:r>
      <w:r>
        <w:rPr>
          <w:color w:val="231F20"/>
          <w:spacing w:val="21"/>
          <w:sz w:val="29"/>
        </w:rPr>
        <w:t xml:space="preserve">利中心和街道综合养老服务中心、乡镇敬老院 </w:t>
      </w:r>
      <w:r>
        <w:rPr>
          <w:color w:val="231F20"/>
          <w:spacing w:val="-22"/>
          <w:sz w:val="29"/>
        </w:rPr>
        <w:t>（</w:t>
      </w:r>
      <w:r>
        <w:rPr>
          <w:color w:val="231F20"/>
          <w:spacing w:val="18"/>
          <w:sz w:val="29"/>
        </w:rPr>
        <w:t>乡镇综合养老服</w:t>
      </w:r>
      <w:r>
        <w:rPr>
          <w:color w:val="231F20"/>
          <w:spacing w:val="6"/>
          <w:sz w:val="29"/>
        </w:rPr>
        <w:t>务中心</w:t>
      </w:r>
      <w:r>
        <w:rPr>
          <w:color w:val="231F20"/>
          <w:sz w:val="29"/>
        </w:rPr>
        <w:t>）</w:t>
      </w:r>
      <w:r>
        <w:rPr>
          <w:color w:val="231F20"/>
          <w:spacing w:val="21"/>
          <w:sz w:val="29"/>
        </w:rPr>
        <w:t xml:space="preserve"> 重点为特困人员提供集中供养服务，为低保、低保边缘家庭以及计划生育特殊家庭中的高龄、失能失智老年人提供低收费服务，并拓展社会寄养、日间照料、上门服务等功能。强化市级福利院服务供给和兜底保障能力，发挥示范带动作用，促进基</w:t>
      </w:r>
      <w:r>
        <w:rPr>
          <w:color w:val="231F20"/>
          <w:spacing w:val="18"/>
          <w:sz w:val="29"/>
        </w:rPr>
        <w:t xml:space="preserve">层养老服务水平提高，形成市、区县 </w:t>
      </w:r>
      <w:r>
        <w:rPr>
          <w:color w:val="231F20"/>
          <w:spacing w:val="-22"/>
          <w:sz w:val="29"/>
        </w:rPr>
        <w:t>（市</w:t>
      </w:r>
      <w:r>
        <w:rPr>
          <w:color w:val="231F20"/>
          <w:sz w:val="29"/>
        </w:rPr>
        <w:t>）</w:t>
      </w:r>
      <w:r>
        <w:rPr>
          <w:color w:val="231F20"/>
          <w:spacing w:val="15"/>
          <w:sz w:val="29"/>
        </w:rPr>
        <w:t xml:space="preserve"> 社会福利中心与街道</w:t>
      </w:r>
      <w:r>
        <w:rPr>
          <w:color w:val="231F20"/>
          <w:spacing w:val="20"/>
          <w:sz w:val="29"/>
        </w:rPr>
        <w:t xml:space="preserve">综合养老服务中心和乡镇敬老院 </w:t>
      </w:r>
      <w:r>
        <w:rPr>
          <w:color w:val="231F20"/>
          <w:spacing w:val="-22"/>
          <w:sz w:val="29"/>
        </w:rPr>
        <w:t>（</w:t>
      </w:r>
      <w:r>
        <w:rPr>
          <w:color w:val="231F20"/>
          <w:spacing w:val="17"/>
          <w:sz w:val="29"/>
        </w:rPr>
        <w:t>乡镇综合养老服务中心</w:t>
      </w:r>
      <w:r>
        <w:rPr>
          <w:color w:val="231F20"/>
          <w:sz w:val="29"/>
        </w:rPr>
        <w:t>）</w:t>
      </w:r>
      <w:r>
        <w:rPr>
          <w:color w:val="231F20"/>
          <w:spacing w:val="10"/>
          <w:sz w:val="29"/>
        </w:rPr>
        <w:t xml:space="preserve"> 互为</w:t>
      </w:r>
    </w:p>
    <w:p>
      <w:pPr>
        <w:spacing w:after="0" w:line="338" w:lineRule="auto"/>
        <w:jc w:val="both"/>
        <w:rPr>
          <w:sz w:val="29"/>
        </w:rPr>
        <w:sectPr>
          <w:pgSz w:w="11910" w:h="16840"/>
          <w:pgMar w:top="1580" w:right="1420" w:bottom="1940" w:left="1360" w:header="0" w:footer="1755" w:gutter="0"/>
          <w:cols w:space="720" w:num="1"/>
        </w:sectPr>
      </w:pPr>
    </w:p>
    <w:p>
      <w:pPr>
        <w:pStyle w:val="2"/>
        <w:spacing w:before="9"/>
        <w:rPr>
          <w:sz w:val="7"/>
        </w:rPr>
      </w:pPr>
    </w:p>
    <w:p>
      <w:pPr>
        <w:pStyle w:val="2"/>
        <w:spacing w:before="3" w:line="338" w:lineRule="auto"/>
        <w:ind w:left="213" w:right="47"/>
      </w:pPr>
      <w:r>
        <w:rPr>
          <w:color w:val="231F20"/>
        </w:rPr>
        <w:t>补充、布局科学、配置均衡、功能完善的特困人员养老服务兜底保障体系。</w:t>
      </w:r>
    </w:p>
    <w:p>
      <w:pPr>
        <w:pStyle w:val="6"/>
        <w:numPr>
          <w:ilvl w:val="2"/>
          <w:numId w:val="3"/>
        </w:numPr>
        <w:tabs>
          <w:tab w:val="left" w:pos="1117"/>
        </w:tabs>
        <w:spacing w:before="40" w:after="0" w:line="240" w:lineRule="auto"/>
        <w:ind w:left="1116" w:right="0" w:hanging="283"/>
        <w:jc w:val="left"/>
        <w:rPr>
          <w:sz w:val="29"/>
        </w:rPr>
      </w:pPr>
      <w:r>
        <w:rPr>
          <w:color w:val="231F20"/>
          <w:spacing w:val="20"/>
          <w:sz w:val="29"/>
        </w:rPr>
        <w:t>健全农村养老服务体系。结合实施乡村振兴战略， 完善县</w:t>
      </w:r>
    </w:p>
    <w:p>
      <w:pPr>
        <w:pStyle w:val="2"/>
        <w:spacing w:before="173" w:line="338" w:lineRule="auto"/>
        <w:ind w:left="213" w:right="115" w:hanging="105"/>
        <w:jc w:val="both"/>
      </w:pPr>
      <w:r>
        <w:rPr>
          <w:color w:val="231F20"/>
          <w:spacing w:val="-22"/>
        </w:rPr>
        <w:t>（市</w:t>
      </w:r>
      <w:r>
        <w:rPr>
          <w:color w:val="231F20"/>
        </w:rPr>
        <w:t>）</w:t>
      </w:r>
      <w:r>
        <w:rPr>
          <w:color w:val="231F20"/>
          <w:spacing w:val="11"/>
        </w:rPr>
        <w:t xml:space="preserve"> 社会福利中心、乡镇敬老院 </w:t>
      </w:r>
      <w:r>
        <w:rPr>
          <w:color w:val="231F20"/>
          <w:spacing w:val="-22"/>
        </w:rPr>
        <w:t>（</w:t>
      </w:r>
      <w:r>
        <w:rPr>
          <w:color w:val="231F20"/>
          <w:spacing w:val="16"/>
        </w:rPr>
        <w:t>乡镇综合养老服务中心</w:t>
      </w:r>
      <w:r>
        <w:rPr>
          <w:color w:val="231F20"/>
          <w:spacing w:val="-81"/>
        </w:rPr>
        <w:t>）</w:t>
      </w:r>
      <w:r>
        <w:rPr>
          <w:color w:val="231F20"/>
          <w:spacing w:val="10"/>
        </w:rPr>
        <w:t>、村</w:t>
      </w:r>
      <w:r>
        <w:rPr>
          <w:color w:val="231F20"/>
          <w:spacing w:val="20"/>
        </w:rPr>
        <w:t xml:space="preserve">级居家养老服务站农村三级养老服务网络。充分发挥县 </w:t>
      </w:r>
      <w:r>
        <w:rPr>
          <w:color w:val="231F20"/>
          <w:spacing w:val="-22"/>
        </w:rPr>
        <w:t>（市</w:t>
      </w:r>
      <w:r>
        <w:rPr>
          <w:color w:val="231F20"/>
        </w:rPr>
        <w:t>）</w:t>
      </w:r>
      <w:r>
        <w:rPr>
          <w:color w:val="231F20"/>
          <w:spacing w:val="-1"/>
        </w:rPr>
        <w:t xml:space="preserve"> 社</w:t>
      </w:r>
      <w:r>
        <w:rPr>
          <w:color w:val="231F20"/>
          <w:spacing w:val="21"/>
        </w:rPr>
        <w:t xml:space="preserve">会福利中心的指导、示范作用和乡镇敬老院 </w:t>
      </w:r>
      <w:r>
        <w:rPr>
          <w:color w:val="231F20"/>
          <w:spacing w:val="-22"/>
        </w:rPr>
        <w:t>（</w:t>
      </w:r>
      <w:r>
        <w:rPr>
          <w:color w:val="231F20"/>
          <w:spacing w:val="20"/>
        </w:rPr>
        <w:t>乡镇综合养老服务</w:t>
      </w:r>
      <w:r>
        <w:rPr>
          <w:color w:val="231F20"/>
        </w:rPr>
        <w:t>中心）</w:t>
      </w:r>
      <w:r>
        <w:rPr>
          <w:color w:val="231F20"/>
          <w:spacing w:val="21"/>
        </w:rPr>
        <w:t xml:space="preserve"> 的支点、骨干作用，在满足集中供养的基础上，拓展社会寄养、日间照料、上门照护等服务功能。依托村级居家养老服务站，充分发挥老年协会、社工机构、社会组织及志愿者作用，积</w:t>
      </w:r>
      <w:r>
        <w:rPr>
          <w:color w:val="231F20"/>
          <w:spacing w:val="11"/>
        </w:rPr>
        <w:t>极开展农村留守老年人关爱服务，提高农村居家养老服务水平。</w:t>
      </w:r>
    </w:p>
    <w:p>
      <w:pPr>
        <w:pStyle w:val="6"/>
        <w:numPr>
          <w:ilvl w:val="2"/>
          <w:numId w:val="3"/>
        </w:numPr>
        <w:tabs>
          <w:tab w:val="left" w:pos="1117"/>
        </w:tabs>
        <w:spacing w:before="39" w:after="0" w:line="338" w:lineRule="auto"/>
        <w:ind w:left="213" w:right="115" w:firstLine="620"/>
        <w:jc w:val="both"/>
        <w:rPr>
          <w:sz w:val="29"/>
        </w:rPr>
      </w:pPr>
      <w:r>
        <w:rPr>
          <w:color w:val="231F20"/>
          <w:spacing w:val="26"/>
          <w:sz w:val="29"/>
        </w:rPr>
        <w:t>提升养老服务整体水平。探索建立市、区县</w:t>
      </w:r>
      <w:r>
        <w:rPr>
          <w:color w:val="231F20"/>
          <w:spacing w:val="-19"/>
          <w:sz w:val="29"/>
        </w:rPr>
        <w:t>（</w:t>
      </w:r>
      <w:r>
        <w:rPr>
          <w:color w:val="231F20"/>
          <w:spacing w:val="-20"/>
          <w:sz w:val="29"/>
        </w:rPr>
        <w:t>市</w:t>
      </w:r>
      <w:r>
        <w:rPr>
          <w:color w:val="231F20"/>
          <w:sz w:val="29"/>
        </w:rPr>
        <w:t>）</w:t>
      </w:r>
      <w:r>
        <w:rPr>
          <w:color w:val="231F20"/>
          <w:spacing w:val="18"/>
          <w:sz w:val="29"/>
        </w:rPr>
        <w:t xml:space="preserve"> 级养老</w:t>
      </w:r>
      <w:r>
        <w:rPr>
          <w:color w:val="231F20"/>
          <w:spacing w:val="21"/>
          <w:sz w:val="29"/>
        </w:rPr>
        <w:t>护理员实训基地，开展家庭成员照护培训，加大养老服务从业人员培训力度，提升养老服务管理能力和专业服务水平。大力培训养老护理员、养老院院长，提高专业化、职业化水平。大力培训</w:t>
      </w:r>
      <w:r>
        <w:rPr>
          <w:color w:val="231F20"/>
          <w:spacing w:val="10"/>
          <w:sz w:val="29"/>
        </w:rPr>
        <w:t>老年社会工作者，实现每千名老年人、每百张养老机构床位平均拥</w:t>
      </w:r>
      <w:r>
        <w:rPr>
          <w:color w:val="231F20"/>
          <w:spacing w:val="-10"/>
          <w:sz w:val="29"/>
        </w:rPr>
        <w:t xml:space="preserve">有 </w:t>
      </w:r>
      <w:r>
        <w:rPr>
          <w:rFonts w:ascii="Times New Roman" w:eastAsia="Times New Roman"/>
          <w:color w:val="231F20"/>
          <w:sz w:val="29"/>
        </w:rPr>
        <w:t>1</w:t>
      </w:r>
      <w:r>
        <w:rPr>
          <w:rFonts w:ascii="Times New Roman" w:eastAsia="Times New Roman"/>
          <w:color w:val="231F20"/>
          <w:spacing w:val="18"/>
          <w:sz w:val="29"/>
        </w:rPr>
        <w:t xml:space="preserve"> </w:t>
      </w:r>
      <w:r>
        <w:rPr>
          <w:color w:val="231F20"/>
          <w:spacing w:val="13"/>
          <w:sz w:val="29"/>
        </w:rPr>
        <w:t>名老年社会工作者。组织开展养老护理员职业技能竞赛，积极</w:t>
      </w:r>
      <w:r>
        <w:rPr>
          <w:color w:val="231F20"/>
          <w:spacing w:val="10"/>
          <w:sz w:val="29"/>
        </w:rPr>
        <w:t>参与国家级、省级养老护理员竞赛活动，建立养老护理人员岗位补</w:t>
      </w:r>
      <w:r>
        <w:rPr>
          <w:color w:val="231F20"/>
          <w:spacing w:val="11"/>
          <w:sz w:val="29"/>
        </w:rPr>
        <w:t>贴补助制度，不断提高养老服务从业人员社会地位和薪酬待遇。</w:t>
      </w:r>
    </w:p>
    <w:p>
      <w:pPr>
        <w:pStyle w:val="2"/>
        <w:spacing w:before="49"/>
        <w:ind w:left="728"/>
        <w:rPr>
          <w:rFonts w:hint="eastAsia" w:ascii="方正楷体_GBK" w:eastAsia="方正楷体_GBK"/>
        </w:rPr>
      </w:pPr>
      <w:r>
        <w:rPr>
          <w:rFonts w:hint="eastAsia" w:ascii="方正楷体_GBK" w:eastAsia="方正楷体_GBK"/>
          <w:color w:val="231F20"/>
        </w:rPr>
        <w:t>（二） 推进普惠养老服务体系发展</w:t>
      </w:r>
    </w:p>
    <w:p>
      <w:pPr>
        <w:pStyle w:val="6"/>
        <w:numPr>
          <w:ilvl w:val="0"/>
          <w:numId w:val="4"/>
        </w:numPr>
        <w:tabs>
          <w:tab w:val="left" w:pos="1117"/>
        </w:tabs>
        <w:spacing w:before="175" w:after="0" w:line="338" w:lineRule="auto"/>
        <w:ind w:left="213" w:right="115" w:firstLine="620"/>
        <w:jc w:val="both"/>
        <w:rPr>
          <w:sz w:val="29"/>
        </w:rPr>
      </w:pPr>
      <w:r>
        <w:rPr>
          <w:color w:val="231F20"/>
          <w:spacing w:val="18"/>
          <w:sz w:val="29"/>
        </w:rPr>
        <w:t>加强普惠养老市场培育。着眼城乡居民刚性服务需求， 加</w:t>
      </w:r>
      <w:r>
        <w:rPr>
          <w:color w:val="231F20"/>
          <w:spacing w:val="21"/>
          <w:sz w:val="29"/>
        </w:rPr>
        <w:t>强政府和社会联动机制建设，综合运用自然资源规划、土地、住房城乡建设、财政、投融资、人才等支持政策，与资金补助、政</w:t>
      </w:r>
    </w:p>
    <w:p>
      <w:pPr>
        <w:spacing w:after="0" w:line="338" w:lineRule="auto"/>
        <w:jc w:val="both"/>
        <w:rPr>
          <w:sz w:val="29"/>
        </w:rPr>
        <w:sectPr>
          <w:pgSz w:w="11910" w:h="16840"/>
          <w:pgMar w:top="1580" w:right="1360" w:bottom="1940" w:left="1320" w:header="0" w:footer="1755" w:gutter="0"/>
          <w:cols w:space="720" w:num="1"/>
        </w:sectPr>
      </w:pPr>
    </w:p>
    <w:p>
      <w:pPr>
        <w:pStyle w:val="2"/>
        <w:spacing w:before="9"/>
        <w:rPr>
          <w:sz w:val="7"/>
        </w:rPr>
      </w:pPr>
    </w:p>
    <w:p>
      <w:pPr>
        <w:pStyle w:val="2"/>
        <w:spacing w:before="3" w:line="338" w:lineRule="auto"/>
        <w:ind w:left="117" w:right="251"/>
        <w:jc w:val="both"/>
      </w:pPr>
      <w:r>
        <w:rPr>
          <w:color w:val="231F20"/>
        </w:rPr>
        <w:t>策优惠等形成合力，引导各类市场主体不断增加价格可负担、质量有保障、运行可持续的普惠性养老托育服务有效供给，共同推进培育普惠养老市场。</w:t>
      </w:r>
    </w:p>
    <w:p>
      <w:pPr>
        <w:pStyle w:val="6"/>
        <w:numPr>
          <w:ilvl w:val="0"/>
          <w:numId w:val="4"/>
        </w:numPr>
        <w:tabs>
          <w:tab w:val="left" w:pos="1020"/>
        </w:tabs>
        <w:spacing w:before="40" w:after="0" w:line="338" w:lineRule="auto"/>
        <w:ind w:left="117" w:right="101" w:firstLine="619"/>
        <w:jc w:val="left"/>
        <w:rPr>
          <w:sz w:val="29"/>
        </w:rPr>
      </w:pPr>
      <w:r>
        <w:rPr>
          <w:color w:val="231F20"/>
          <w:spacing w:val="16"/>
          <w:sz w:val="29"/>
        </w:rPr>
        <w:t>扎实有效开展专项行动。科学规划普惠养老机构布局， 合</w:t>
      </w:r>
      <w:r>
        <w:rPr>
          <w:color w:val="231F20"/>
          <w:spacing w:val="21"/>
          <w:sz w:val="29"/>
        </w:rPr>
        <w:t>理确定项目建设内容和建设规模。通过新建养老服务设施，改扩建适宜的厂房、医院、闲置校舍、办公用房、培训设施、疗养设施及其他设施等方式，重点支持养老服务骨干网以及专业化和医养结合能力突出的养老服务机构、内含老年大学等学习场所的养老服务机构、普惠旅居的养老服务机构建设，支持党政机关和国</w:t>
      </w:r>
      <w:r>
        <w:rPr>
          <w:color w:val="231F20"/>
          <w:spacing w:val="23"/>
          <w:sz w:val="29"/>
        </w:rPr>
        <w:t xml:space="preserve">有企事业单位所属培训疗养机构， 通过改革盘活国有资产存量， </w:t>
      </w:r>
      <w:r>
        <w:rPr>
          <w:color w:val="231F20"/>
          <w:spacing w:val="21"/>
          <w:sz w:val="29"/>
        </w:rPr>
        <w:t xml:space="preserve">转型为健康养老服务机构。探索国有企事业单位与民营养老机构 </w:t>
      </w:r>
      <w:r>
        <w:rPr>
          <w:color w:val="231F20"/>
          <w:spacing w:val="11"/>
          <w:sz w:val="29"/>
        </w:rPr>
        <w:t>合资合作建设运营养老服务设施。</w:t>
      </w:r>
    </w:p>
    <w:p>
      <w:pPr>
        <w:pStyle w:val="6"/>
        <w:numPr>
          <w:ilvl w:val="0"/>
          <w:numId w:val="4"/>
        </w:numPr>
        <w:tabs>
          <w:tab w:val="left" w:pos="1020"/>
        </w:tabs>
        <w:spacing w:before="40" w:after="0" w:line="338" w:lineRule="auto"/>
        <w:ind w:left="117" w:right="102" w:firstLine="619"/>
        <w:jc w:val="left"/>
        <w:rPr>
          <w:sz w:val="29"/>
        </w:rPr>
      </w:pPr>
      <w:r>
        <w:rPr>
          <w:color w:val="231F20"/>
          <w:spacing w:val="23"/>
          <w:sz w:val="29"/>
        </w:rPr>
        <w:t>促进普惠养老规范发展。根据普惠养老服务机构与各级政</w:t>
      </w:r>
      <w:r>
        <w:rPr>
          <w:color w:val="231F20"/>
          <w:spacing w:val="21"/>
          <w:sz w:val="29"/>
        </w:rPr>
        <w:t xml:space="preserve">府签订的战略合作协议，加强对政府提供的土地、物业用于养老 </w:t>
      </w:r>
      <w:r>
        <w:rPr>
          <w:color w:val="231F20"/>
          <w:spacing w:val="15"/>
          <w:sz w:val="29"/>
        </w:rPr>
        <w:t>机构建设的监管；加强对养老机构普惠养老床位价格、服务质量、</w:t>
      </w:r>
      <w:r>
        <w:rPr>
          <w:color w:val="231F20"/>
          <w:spacing w:val="21"/>
          <w:sz w:val="29"/>
        </w:rPr>
        <w:t xml:space="preserve">运营状况和消防安全的监管；加强对政府补贴、医保基金使用的监管，依法打击处置以养老服务为名的非法集资活动，确保普惠养老建设与服务有标准、收费有依据、监管有措施，实现消费者 </w:t>
      </w:r>
      <w:r>
        <w:rPr>
          <w:color w:val="231F20"/>
          <w:spacing w:val="11"/>
          <w:sz w:val="29"/>
        </w:rPr>
        <w:t>可知晓、社会可识别、政府可监管。</w:t>
      </w:r>
    </w:p>
    <w:p>
      <w:pPr>
        <w:pStyle w:val="2"/>
        <w:spacing w:before="49"/>
        <w:ind w:left="632"/>
        <w:rPr>
          <w:rFonts w:hint="eastAsia" w:ascii="方正楷体_GBK" w:eastAsia="方正楷体_GBK"/>
        </w:rPr>
      </w:pPr>
      <w:r>
        <w:rPr>
          <w:rFonts w:hint="eastAsia" w:ascii="方正楷体_GBK" w:eastAsia="方正楷体_GBK"/>
          <w:color w:val="231F20"/>
        </w:rPr>
        <w:t>（三） 促进养老服务业市场规范发展</w:t>
      </w:r>
    </w:p>
    <w:p>
      <w:pPr>
        <w:pStyle w:val="6"/>
        <w:numPr>
          <w:ilvl w:val="0"/>
          <w:numId w:val="5"/>
        </w:numPr>
        <w:tabs>
          <w:tab w:val="left" w:pos="1020"/>
        </w:tabs>
        <w:spacing w:before="175" w:after="0" w:line="338" w:lineRule="auto"/>
        <w:ind w:left="117" w:right="251" w:firstLine="619"/>
        <w:jc w:val="left"/>
        <w:rPr>
          <w:sz w:val="29"/>
        </w:rPr>
      </w:pPr>
      <w:r>
        <w:rPr>
          <w:color w:val="231F20"/>
          <w:spacing w:val="6"/>
          <w:sz w:val="29"/>
        </w:rPr>
        <w:t>深化养老服务市场“ 放管服” 改革。根据国家、省政策规</w:t>
      </w:r>
      <w:r>
        <w:rPr>
          <w:color w:val="231F20"/>
          <w:spacing w:val="21"/>
          <w:sz w:val="29"/>
        </w:rPr>
        <w:t>定及相关工作部署，全面放开养老服务市场，降低准入门槛，放</w:t>
      </w:r>
    </w:p>
    <w:p>
      <w:pPr>
        <w:spacing w:after="0" w:line="338" w:lineRule="auto"/>
        <w:jc w:val="left"/>
        <w:rPr>
          <w:sz w:val="29"/>
        </w:rPr>
        <w:sectPr>
          <w:footerReference r:id="rId7" w:type="default"/>
          <w:footerReference r:id="rId8" w:type="even"/>
          <w:pgSz w:w="11910" w:h="16840"/>
          <w:pgMar w:top="1580" w:right="1280" w:bottom="1940" w:left="1360" w:header="0" w:footer="1755" w:gutter="0"/>
          <w:pgNumType w:start="10"/>
          <w:cols w:space="720" w:num="1"/>
        </w:sectPr>
      </w:pPr>
    </w:p>
    <w:p>
      <w:pPr>
        <w:pStyle w:val="2"/>
        <w:spacing w:before="9"/>
        <w:rPr>
          <w:sz w:val="7"/>
        </w:rPr>
      </w:pPr>
    </w:p>
    <w:p>
      <w:pPr>
        <w:pStyle w:val="2"/>
        <w:spacing w:before="3" w:line="338" w:lineRule="auto"/>
        <w:ind w:left="213" w:right="105"/>
      </w:pPr>
      <w:r>
        <w:rPr>
          <w:color w:val="231F20"/>
          <w:spacing w:val="21"/>
        </w:rPr>
        <w:t xml:space="preserve">宽经营场所登记条件。在国家政策允许范围内，鼓励境外投资者 </w:t>
      </w:r>
      <w:r>
        <w:rPr>
          <w:color w:val="231F20"/>
          <w:spacing w:val="15"/>
        </w:rPr>
        <w:t>设立营利性养老机构、医养结合服务机构、社区居家养老服务站、</w:t>
      </w:r>
      <w:r>
        <w:rPr>
          <w:color w:val="231F20"/>
          <w:spacing w:val="21"/>
        </w:rPr>
        <w:t xml:space="preserve">专业护理服务机构及研发、生产老年产品用品。鼓励境外投资者设立非营利性养老机构，其享有与境内投资者设立的非营利性养老机构同等的土地政策、税收优惠、财政支持等待遇。精简行政审批，优化政务服务，建立“一地、一窗、一次”网上联办审批机制。联合创新政府主导的市场化发展新模式，从行业驱动方面优化养老服务体系市场营商环境，打破制约产业发展阻碍，从上 </w:t>
      </w:r>
      <w:r>
        <w:rPr>
          <w:color w:val="231F20"/>
          <w:spacing w:val="10"/>
        </w:rPr>
        <w:t>至下支持养老行业健康发展。</w:t>
      </w:r>
    </w:p>
    <w:p>
      <w:pPr>
        <w:pStyle w:val="6"/>
        <w:numPr>
          <w:ilvl w:val="0"/>
          <w:numId w:val="5"/>
        </w:numPr>
        <w:tabs>
          <w:tab w:val="left" w:pos="1117"/>
        </w:tabs>
        <w:spacing w:before="40" w:after="0" w:line="338" w:lineRule="auto"/>
        <w:ind w:left="213" w:right="105" w:firstLine="620"/>
        <w:jc w:val="left"/>
        <w:rPr>
          <w:sz w:val="29"/>
        </w:rPr>
      </w:pPr>
      <w:r>
        <w:rPr>
          <w:color w:val="231F20"/>
          <w:spacing w:val="23"/>
          <w:sz w:val="29"/>
        </w:rPr>
        <w:t>实施行业标准化建设管理。全面提高养老机构专业照护能</w:t>
      </w:r>
      <w:r>
        <w:rPr>
          <w:color w:val="231F20"/>
          <w:spacing w:val="-1"/>
          <w:sz w:val="29"/>
        </w:rPr>
        <w:t xml:space="preserve">力，到 </w:t>
      </w:r>
      <w:r>
        <w:rPr>
          <w:rFonts w:ascii="Times New Roman" w:eastAsia="Times New Roman"/>
          <w:color w:val="231F20"/>
          <w:sz w:val="29"/>
        </w:rPr>
        <w:t>2025</w:t>
      </w:r>
      <w:r>
        <w:rPr>
          <w:rFonts w:ascii="Times New Roman" w:eastAsia="Times New Roman"/>
          <w:color w:val="231F20"/>
          <w:spacing w:val="7"/>
          <w:sz w:val="29"/>
        </w:rPr>
        <w:t xml:space="preserve"> </w:t>
      </w:r>
      <w:r>
        <w:rPr>
          <w:color w:val="231F20"/>
          <w:spacing w:val="15"/>
          <w:sz w:val="29"/>
        </w:rPr>
        <w:t xml:space="preserve">年，全市养老机构护理型床位占比不低于 </w:t>
      </w:r>
      <w:r>
        <w:rPr>
          <w:rFonts w:ascii="Times New Roman" w:eastAsia="Times New Roman"/>
          <w:color w:val="231F20"/>
          <w:spacing w:val="5"/>
          <w:sz w:val="29"/>
        </w:rPr>
        <w:t>55%</w:t>
      </w:r>
      <w:r>
        <w:rPr>
          <w:color w:val="231F20"/>
          <w:spacing w:val="13"/>
          <w:sz w:val="29"/>
        </w:rPr>
        <w:t>。指导</w:t>
      </w:r>
      <w:r>
        <w:rPr>
          <w:color w:val="231F20"/>
          <w:spacing w:val="26"/>
          <w:sz w:val="29"/>
        </w:rPr>
        <w:t>督促养老服务机构贯彻落实有关养老服务的设施、服务、管理、</w:t>
      </w:r>
      <w:r>
        <w:rPr>
          <w:color w:val="231F20"/>
          <w:spacing w:val="21"/>
          <w:sz w:val="29"/>
        </w:rPr>
        <w:t xml:space="preserve">安全等各级各类标准规范，推动养老服务机构标准化建设。推进试点示范项目和品牌化、连锁化养老机构建设，发挥养老服务行 </w:t>
      </w:r>
      <w:r>
        <w:rPr>
          <w:color w:val="231F20"/>
          <w:spacing w:val="11"/>
          <w:sz w:val="29"/>
        </w:rPr>
        <w:t>业协会作用，推动行业诚信体系建设。</w:t>
      </w:r>
    </w:p>
    <w:p>
      <w:pPr>
        <w:pStyle w:val="6"/>
        <w:numPr>
          <w:ilvl w:val="0"/>
          <w:numId w:val="5"/>
        </w:numPr>
        <w:tabs>
          <w:tab w:val="left" w:pos="1110"/>
        </w:tabs>
        <w:spacing w:before="40" w:after="0" w:line="240" w:lineRule="auto"/>
        <w:ind w:left="1109" w:right="0" w:hanging="276"/>
        <w:jc w:val="left"/>
        <w:rPr>
          <w:sz w:val="29"/>
        </w:rPr>
      </w:pPr>
      <w:r>
        <w:rPr>
          <w:color w:val="231F20"/>
          <w:spacing w:val="15"/>
          <w:sz w:val="29"/>
        </w:rPr>
        <w:t>完善养老机构评估机制。依据《养老机构等级划分与评定》</w:t>
      </w:r>
    </w:p>
    <w:p>
      <w:pPr>
        <w:pStyle w:val="2"/>
        <w:spacing w:before="173" w:line="338" w:lineRule="auto"/>
        <w:ind w:left="213" w:right="255" w:hanging="105"/>
        <w:jc w:val="both"/>
      </w:pPr>
      <w:r>
        <w:rPr>
          <w:color w:val="231F20"/>
        </w:rPr>
        <w:t>（</w:t>
      </w:r>
      <w:r>
        <w:rPr>
          <w:rFonts w:ascii="Times New Roman" w:hAnsi="Times New Roman" w:eastAsia="Times New Roman"/>
          <w:color w:val="231F20"/>
        </w:rPr>
        <w:t>GB/T 37276</w:t>
      </w:r>
      <w:r>
        <w:rPr>
          <w:color w:val="231F20"/>
        </w:rPr>
        <w:t>—</w:t>
      </w:r>
      <w:r>
        <w:rPr>
          <w:rFonts w:ascii="Times New Roman" w:hAnsi="Times New Roman" w:eastAsia="Times New Roman"/>
          <w:color w:val="231F20"/>
        </w:rPr>
        <w:t>2018</w:t>
      </w:r>
      <w:r>
        <w:rPr>
          <w:color w:val="231F20"/>
        </w:rPr>
        <w:t>） 国家标准及实施指南，开展养老机构等级评定，等级评定结果作为养老机构享受政府资金补贴和制定收费标准的重要参考。引导和鼓励养老机构参加养老机构等级评定，开展社区居家养老服务机构等级评定，打造一批示范性养老服务机构。</w:t>
      </w:r>
    </w:p>
    <w:p>
      <w:pPr>
        <w:pStyle w:val="2"/>
        <w:spacing w:before="48"/>
        <w:ind w:left="728"/>
        <w:rPr>
          <w:rFonts w:hint="eastAsia" w:ascii="方正楷体_GBK" w:eastAsia="方正楷体_GBK"/>
        </w:rPr>
      </w:pPr>
      <w:r>
        <w:rPr>
          <w:rFonts w:hint="eastAsia" w:ascii="方正楷体_GBK" w:eastAsia="方正楷体_GBK"/>
          <w:color w:val="231F20"/>
        </w:rPr>
        <w:t>（四） 构建社区居家养老服务体系</w:t>
      </w:r>
    </w:p>
    <w:p>
      <w:pPr>
        <w:pStyle w:val="6"/>
        <w:numPr>
          <w:ilvl w:val="0"/>
          <w:numId w:val="6"/>
        </w:numPr>
        <w:tabs>
          <w:tab w:val="left" w:pos="1117"/>
        </w:tabs>
        <w:spacing w:before="174" w:after="0" w:line="240" w:lineRule="auto"/>
        <w:ind w:left="217" w:right="0" w:firstLine="616"/>
        <w:jc w:val="left"/>
        <w:rPr>
          <w:sz w:val="29"/>
        </w:rPr>
      </w:pPr>
      <w:r>
        <w:rPr>
          <w:color w:val="231F20"/>
          <w:spacing w:val="23"/>
          <w:sz w:val="29"/>
        </w:rPr>
        <w:t>统筹推进适老化改造。通过开展家庭养老床位建设和服务</w:t>
      </w:r>
    </w:p>
    <w:p>
      <w:pPr>
        <w:spacing w:after="0" w:line="240" w:lineRule="auto"/>
        <w:jc w:val="left"/>
        <w:rPr>
          <w:sz w:val="29"/>
        </w:rPr>
        <w:sectPr>
          <w:pgSz w:w="11910" w:h="16840"/>
          <w:pgMar w:top="1580" w:right="1220" w:bottom="1940" w:left="1320" w:header="0" w:footer="1755" w:gutter="0"/>
          <w:cols w:space="720" w:num="1"/>
        </w:sectPr>
      </w:pPr>
    </w:p>
    <w:p>
      <w:pPr>
        <w:pStyle w:val="2"/>
        <w:spacing w:before="9"/>
        <w:rPr>
          <w:sz w:val="7"/>
        </w:rPr>
      </w:pPr>
    </w:p>
    <w:p>
      <w:pPr>
        <w:pStyle w:val="2"/>
        <w:spacing w:before="3" w:line="338" w:lineRule="auto"/>
        <w:ind w:left="217" w:right="101"/>
      </w:pPr>
      <w:r>
        <w:rPr>
          <w:color w:val="231F20"/>
        </w:rPr>
        <w:t>试点，引导有需要的老年人家庭开展居家适老化改造，以满足其居家生活照料、起居行走、康复护理等需求为核心，改善居家生活照护条件， 增强居家生活设施设备安全性、便利性和舒适性， 提升居家养老服务品质。做好与城镇老旧小区改造的统筹衔接， 根据实际情况，改善小区坡道、电梯等与老年人日常生活密切相关的公共设施，为老年人提供安全、便利和舒适的宜居环境。坚持传统服务与智能创新相结合，聚焦涉及老年人的高频事项和服 务场景，推进智能化产品和互联网应用适老化改造，在公交地铁、机场、火车站等交通枢纽设置老年人等候专区，切实解决老年人 运用智能技术困难。</w:t>
      </w:r>
    </w:p>
    <w:p>
      <w:pPr>
        <w:pStyle w:val="6"/>
        <w:numPr>
          <w:ilvl w:val="0"/>
          <w:numId w:val="6"/>
        </w:numPr>
        <w:tabs>
          <w:tab w:val="left" w:pos="1114"/>
        </w:tabs>
        <w:spacing w:before="40" w:after="0" w:line="338" w:lineRule="auto"/>
        <w:ind w:left="217" w:right="140" w:firstLine="619"/>
        <w:jc w:val="left"/>
        <w:rPr>
          <w:sz w:val="29"/>
        </w:rPr>
      </w:pPr>
      <w:r>
        <w:rPr>
          <w:color w:val="231F20"/>
          <w:spacing w:val="15"/>
          <w:sz w:val="29"/>
        </w:rPr>
        <w:t>优先发展社区居家服务。落实《长沙市居家养老服务条例》</w:t>
      </w:r>
      <w:r>
        <w:rPr>
          <w:color w:val="231F20"/>
          <w:spacing w:val="21"/>
          <w:sz w:val="29"/>
        </w:rPr>
        <w:t>要求，开发建设单位应在配套居家养老服务用房竣工验收合格之</w:t>
      </w:r>
      <w:r>
        <w:rPr>
          <w:color w:val="231F20"/>
          <w:spacing w:val="-13"/>
          <w:sz w:val="29"/>
        </w:rPr>
        <w:t xml:space="preserve">日起 </w:t>
      </w:r>
      <w:r>
        <w:rPr>
          <w:rFonts w:ascii="Times New Roman" w:eastAsia="Times New Roman"/>
          <w:color w:val="231F20"/>
          <w:sz w:val="29"/>
        </w:rPr>
        <w:t xml:space="preserve">3 </w:t>
      </w:r>
      <w:r>
        <w:rPr>
          <w:color w:val="231F20"/>
          <w:spacing w:val="13"/>
          <w:sz w:val="29"/>
        </w:rPr>
        <w:t>个月内将养老服务设施以及有关建设资料全部无偿移交所属</w:t>
      </w:r>
      <w:r>
        <w:rPr>
          <w:color w:val="231F20"/>
          <w:spacing w:val="6"/>
          <w:sz w:val="29"/>
        </w:rPr>
        <w:t xml:space="preserve">街道办事处 </w:t>
      </w:r>
      <w:r>
        <w:rPr>
          <w:color w:val="231F20"/>
          <w:spacing w:val="-28"/>
          <w:sz w:val="29"/>
        </w:rPr>
        <w:t>（</w:t>
      </w:r>
      <w:r>
        <w:rPr>
          <w:color w:val="231F20"/>
          <w:spacing w:val="8"/>
          <w:sz w:val="29"/>
        </w:rPr>
        <w:t>乡镇人民政府</w:t>
      </w:r>
      <w:r>
        <w:rPr>
          <w:color w:val="231F20"/>
          <w:spacing w:val="-86"/>
          <w:sz w:val="29"/>
        </w:rPr>
        <w:t>）</w:t>
      </w:r>
      <w:r>
        <w:rPr>
          <w:color w:val="231F20"/>
          <w:spacing w:val="15"/>
          <w:sz w:val="29"/>
        </w:rPr>
        <w:t>。已建成住宅小区无居家养老服务用</w:t>
      </w:r>
      <w:r>
        <w:rPr>
          <w:color w:val="231F20"/>
          <w:spacing w:val="30"/>
          <w:sz w:val="29"/>
        </w:rPr>
        <w:t>房或者居家养老服务用房未达到规划要求和建设标准的， 区县</w:t>
      </w:r>
    </w:p>
    <w:p>
      <w:pPr>
        <w:pStyle w:val="2"/>
        <w:spacing w:line="338" w:lineRule="auto"/>
        <w:ind w:left="225" w:right="364"/>
        <w:jc w:val="center"/>
      </w:pPr>
      <w:r>
        <w:rPr>
          <w:color w:val="231F20"/>
        </w:rPr>
        <w:t xml:space="preserve">（市） 人民政府按照每百户建筑面积不少于 </w:t>
      </w:r>
      <w:r>
        <w:rPr>
          <w:rFonts w:ascii="Times New Roman" w:eastAsia="Times New Roman"/>
          <w:color w:val="231F20"/>
        </w:rPr>
        <w:t xml:space="preserve">20 </w:t>
      </w:r>
      <w:r>
        <w:rPr>
          <w:color w:val="231F20"/>
        </w:rPr>
        <w:t>平方米的标准，通过新建、改建、购买、置换、租赁等方式配置。</w:t>
      </w:r>
      <w:r>
        <w:rPr>
          <w:rFonts w:ascii="Times New Roman" w:eastAsia="Times New Roman"/>
          <w:color w:val="231F20"/>
        </w:rPr>
        <w:t xml:space="preserve">2025  </w:t>
      </w:r>
      <w:r>
        <w:rPr>
          <w:color w:val="231F20"/>
        </w:rPr>
        <w:t>年前，每个街</w:t>
      </w:r>
    </w:p>
    <w:p>
      <w:pPr>
        <w:pStyle w:val="2"/>
        <w:spacing w:before="39"/>
        <w:ind w:left="217"/>
      </w:pPr>
      <w:r>
        <w:rPr>
          <w:color w:val="231F20"/>
        </w:rPr>
        <w:t xml:space="preserve">道办事处自建或者依托第三方设立至少 </w:t>
      </w:r>
      <w:r>
        <w:rPr>
          <w:rFonts w:ascii="Times New Roman" w:eastAsia="Times New Roman"/>
          <w:color w:val="231F20"/>
        </w:rPr>
        <w:t xml:space="preserve">1 </w:t>
      </w:r>
      <w:r>
        <w:rPr>
          <w:color w:val="231F20"/>
        </w:rPr>
        <w:t>所具备全托、日托、上门</w:t>
      </w:r>
    </w:p>
    <w:p>
      <w:pPr>
        <w:pStyle w:val="2"/>
        <w:spacing w:before="173"/>
        <w:ind w:left="217"/>
        <w:rPr>
          <w:rFonts w:ascii="Times New Roman" w:eastAsia="Times New Roman"/>
        </w:rPr>
      </w:pPr>
      <w:r>
        <w:rPr>
          <w:color w:val="231F20"/>
        </w:rPr>
        <w:t xml:space="preserve">照护等综合功能的街道综合养老服务中心；在每个社区设立至少 </w:t>
      </w:r>
      <w:r>
        <w:rPr>
          <w:rFonts w:ascii="Times New Roman" w:eastAsia="Times New Roman"/>
          <w:color w:val="231F20"/>
        </w:rPr>
        <w:t>1</w:t>
      </w:r>
    </w:p>
    <w:p>
      <w:pPr>
        <w:pStyle w:val="2"/>
        <w:spacing w:before="173"/>
        <w:ind w:left="217"/>
      </w:pPr>
      <w:r>
        <w:rPr>
          <w:color w:val="231F20"/>
        </w:rPr>
        <w:t>所具备日间照料等功能的居家养老服务站。</w:t>
      </w:r>
    </w:p>
    <w:p>
      <w:pPr>
        <w:pStyle w:val="6"/>
        <w:numPr>
          <w:ilvl w:val="0"/>
          <w:numId w:val="6"/>
        </w:numPr>
        <w:tabs>
          <w:tab w:val="left" w:pos="1120"/>
        </w:tabs>
        <w:spacing w:before="173" w:after="0" w:line="338" w:lineRule="auto"/>
        <w:ind w:left="217" w:right="251" w:firstLine="619"/>
        <w:jc w:val="left"/>
        <w:rPr>
          <w:sz w:val="29"/>
        </w:rPr>
      </w:pPr>
      <w:r>
        <w:rPr>
          <w:color w:val="231F20"/>
          <w:spacing w:val="23"/>
          <w:sz w:val="29"/>
        </w:rPr>
        <w:t>开展养老助餐服务。以街道综合养老服务中心、乡镇敬老</w:t>
      </w:r>
      <w:r>
        <w:rPr>
          <w:color w:val="231F20"/>
          <w:spacing w:val="-2"/>
          <w:sz w:val="29"/>
        </w:rPr>
        <w:t xml:space="preserve">院 </w:t>
      </w:r>
      <w:r>
        <w:rPr>
          <w:color w:val="231F20"/>
          <w:spacing w:val="-22"/>
          <w:sz w:val="29"/>
        </w:rPr>
        <w:t>（</w:t>
      </w:r>
      <w:r>
        <w:rPr>
          <w:color w:val="231F20"/>
          <w:spacing w:val="17"/>
          <w:sz w:val="29"/>
        </w:rPr>
        <w:t>乡镇综合养老服务中心</w:t>
      </w:r>
      <w:r>
        <w:rPr>
          <w:color w:val="231F20"/>
          <w:sz w:val="29"/>
        </w:rPr>
        <w:t>）</w:t>
      </w:r>
      <w:r>
        <w:rPr>
          <w:color w:val="231F20"/>
          <w:spacing w:val="-3"/>
          <w:sz w:val="29"/>
        </w:rPr>
        <w:t xml:space="preserve"> 和社区 </w:t>
      </w:r>
      <w:r>
        <w:rPr>
          <w:color w:val="231F20"/>
          <w:spacing w:val="-22"/>
          <w:sz w:val="29"/>
        </w:rPr>
        <w:t>（村</w:t>
      </w:r>
      <w:r>
        <w:rPr>
          <w:color w:val="231F20"/>
          <w:sz w:val="29"/>
        </w:rPr>
        <w:t>）</w:t>
      </w:r>
      <w:r>
        <w:rPr>
          <w:color w:val="231F20"/>
          <w:spacing w:val="12"/>
          <w:sz w:val="29"/>
        </w:rPr>
        <w:t xml:space="preserve"> 居家养老服务站为依</w:t>
      </w:r>
    </w:p>
    <w:p>
      <w:pPr>
        <w:spacing w:after="0" w:line="338" w:lineRule="auto"/>
        <w:jc w:val="left"/>
        <w:rPr>
          <w:sz w:val="29"/>
        </w:rPr>
        <w:sectPr>
          <w:pgSz w:w="11910" w:h="16840"/>
          <w:pgMar w:top="1580" w:right="1280" w:bottom="1940" w:left="1260" w:header="0" w:footer="1755" w:gutter="0"/>
          <w:cols w:space="720" w:num="1"/>
        </w:sectPr>
      </w:pPr>
    </w:p>
    <w:p>
      <w:pPr>
        <w:pStyle w:val="2"/>
        <w:spacing w:before="9"/>
        <w:rPr>
          <w:sz w:val="7"/>
        </w:rPr>
      </w:pPr>
    </w:p>
    <w:p>
      <w:pPr>
        <w:pStyle w:val="2"/>
        <w:spacing w:before="3" w:line="338" w:lineRule="auto"/>
        <w:ind w:left="113" w:right="96"/>
      </w:pPr>
      <w:r>
        <w:rPr>
          <w:color w:val="231F20"/>
          <w:spacing w:val="21"/>
        </w:rPr>
        <w:t>托，积极开展养老助餐服务。助餐服务的重点对象为居家生活的孤寡、失能、高龄老年人，以及计划生育特殊家庭、重点优抚对</w:t>
      </w:r>
      <w:r>
        <w:rPr>
          <w:color w:val="231F20"/>
          <w:spacing w:val="17"/>
        </w:rPr>
        <w:t xml:space="preserve">象。助餐服务可以采取居家养老服务中心 </w:t>
      </w:r>
      <w:r>
        <w:rPr>
          <w:color w:val="231F20"/>
          <w:spacing w:val="-22"/>
        </w:rPr>
        <w:t>（站</w:t>
      </w:r>
      <w:r>
        <w:rPr>
          <w:color w:val="231F20"/>
        </w:rPr>
        <w:t>）</w:t>
      </w:r>
      <w:r>
        <w:rPr>
          <w:color w:val="231F20"/>
          <w:spacing w:val="10"/>
        </w:rPr>
        <w:t xml:space="preserve"> 自建厨房、养老</w:t>
      </w:r>
      <w:r>
        <w:rPr>
          <w:color w:val="231F20"/>
          <w:spacing w:val="13"/>
        </w:rPr>
        <w:t xml:space="preserve">服务机构等其他企事业单位食堂开辟老年助餐专区 </w:t>
      </w:r>
      <w:r>
        <w:rPr>
          <w:color w:val="231F20"/>
          <w:spacing w:val="-28"/>
        </w:rPr>
        <w:t>（窗</w:t>
      </w:r>
      <w:r>
        <w:rPr>
          <w:color w:val="231F20"/>
          <w:spacing w:val="-86"/>
        </w:rPr>
        <w:t>）</w:t>
      </w:r>
      <w:r>
        <w:rPr>
          <w:color w:val="231F20"/>
          <w:spacing w:val="11"/>
        </w:rPr>
        <w:t>、餐饮企</w:t>
      </w:r>
      <w:r>
        <w:rPr>
          <w:color w:val="231F20"/>
          <w:spacing w:val="26"/>
        </w:rPr>
        <w:t>业参与助餐服务等多种方式。助餐服务所需资金通过个人负担、</w:t>
      </w:r>
      <w:r>
        <w:rPr>
          <w:color w:val="231F20"/>
          <w:spacing w:val="11"/>
        </w:rPr>
        <w:t>政府补贴、社会捐赠等多种方式解决。</w:t>
      </w:r>
    </w:p>
    <w:p>
      <w:pPr>
        <w:pStyle w:val="6"/>
        <w:numPr>
          <w:ilvl w:val="0"/>
          <w:numId w:val="6"/>
        </w:numPr>
        <w:tabs>
          <w:tab w:val="left" w:pos="1022"/>
        </w:tabs>
        <w:spacing w:before="40" w:after="0" w:line="338" w:lineRule="auto"/>
        <w:ind w:left="113" w:right="255" w:firstLine="620"/>
        <w:jc w:val="both"/>
        <w:rPr>
          <w:sz w:val="29"/>
        </w:rPr>
      </w:pPr>
      <w:r>
        <w:rPr>
          <w:color w:val="231F20"/>
          <w:spacing w:val="22"/>
          <w:sz w:val="29"/>
        </w:rPr>
        <w:t>建立居家社区智慧养老平台。推动发展“ 互联网</w:t>
      </w:r>
      <w:r>
        <w:rPr>
          <w:rFonts w:ascii="Times New Roman" w:hAnsi="Times New Roman" w:eastAsia="Times New Roman"/>
          <w:color w:val="231F20"/>
          <w:spacing w:val="-3"/>
          <w:sz w:val="29"/>
        </w:rPr>
        <w:t xml:space="preserve">+ </w:t>
      </w:r>
      <w:r>
        <w:rPr>
          <w:color w:val="231F20"/>
          <w:spacing w:val="20"/>
          <w:sz w:val="29"/>
        </w:rPr>
        <w:t>养老服</w:t>
      </w:r>
      <w:r>
        <w:rPr>
          <w:color w:val="231F20"/>
          <w:spacing w:val="2"/>
          <w:w w:val="101"/>
          <w:sz w:val="29"/>
        </w:rPr>
        <w:t>务”，建立基本信息库，加强数据对接，依法及时采集更新老年人</w:t>
      </w:r>
      <w:r>
        <w:rPr>
          <w:color w:val="231F20"/>
          <w:spacing w:val="21"/>
          <w:sz w:val="29"/>
        </w:rPr>
        <w:t>身体状况、经济状况、服务需求等信息；建设集养老服务供需对</w:t>
      </w:r>
      <w:r>
        <w:rPr>
          <w:color w:val="231F20"/>
          <w:spacing w:val="15"/>
          <w:sz w:val="29"/>
        </w:rPr>
        <w:t>接、服务质量实时监控和居家养老应急呼救于一体的“互联网</w:t>
      </w:r>
      <w:r>
        <w:rPr>
          <w:rFonts w:ascii="Times New Roman" w:hAnsi="Times New Roman" w:eastAsia="Times New Roman"/>
          <w:color w:val="231F20"/>
          <w:spacing w:val="15"/>
          <w:sz w:val="29"/>
        </w:rPr>
        <w:t>+</w:t>
      </w:r>
      <w:r>
        <w:rPr>
          <w:color w:val="231F20"/>
          <w:sz w:val="29"/>
        </w:rPr>
        <w:t>智</w:t>
      </w:r>
      <w:r>
        <w:rPr>
          <w:color w:val="231F20"/>
          <w:spacing w:val="1"/>
          <w:w w:val="101"/>
          <w:sz w:val="29"/>
        </w:rPr>
        <w:t>慧养老”，打造“没有围墙的养老院”；支持大型互联网企业导入</w:t>
      </w:r>
      <w:r>
        <w:rPr>
          <w:color w:val="231F20"/>
          <w:spacing w:val="21"/>
          <w:sz w:val="29"/>
        </w:rPr>
        <w:t>养老服务和老年健康服务，支持优质养老机构依托互联网平台化</w:t>
      </w:r>
      <w:r>
        <w:rPr>
          <w:color w:val="231F20"/>
          <w:spacing w:val="11"/>
          <w:sz w:val="29"/>
        </w:rPr>
        <w:t>发展，更好发挥信息科技赋能作用。</w:t>
      </w:r>
    </w:p>
    <w:p>
      <w:pPr>
        <w:pStyle w:val="2"/>
        <w:spacing w:before="49"/>
        <w:ind w:left="628"/>
        <w:rPr>
          <w:rFonts w:hint="eastAsia" w:ascii="方正楷体_GBK" w:eastAsia="方正楷体_GBK"/>
        </w:rPr>
      </w:pPr>
      <w:r>
        <w:rPr>
          <w:rFonts w:hint="eastAsia" w:ascii="方正楷体_GBK" w:eastAsia="方正楷体_GBK"/>
          <w:color w:val="231F20"/>
        </w:rPr>
        <w:t>（五） 壮大老年用品和服务产业</w:t>
      </w:r>
    </w:p>
    <w:p>
      <w:pPr>
        <w:pStyle w:val="6"/>
        <w:numPr>
          <w:ilvl w:val="0"/>
          <w:numId w:val="7"/>
        </w:numPr>
        <w:tabs>
          <w:tab w:val="left" w:pos="1017"/>
        </w:tabs>
        <w:spacing w:before="175" w:after="0" w:line="338" w:lineRule="auto"/>
        <w:ind w:left="113" w:right="255" w:firstLine="620"/>
        <w:jc w:val="both"/>
        <w:rPr>
          <w:sz w:val="29"/>
        </w:rPr>
      </w:pPr>
      <w:r>
        <w:rPr>
          <w:color w:val="231F20"/>
          <w:spacing w:val="18"/>
          <w:sz w:val="29"/>
        </w:rPr>
        <w:t>大力发展养老服务业。鼓励连锁化经营、集团化发展， 实</w:t>
      </w:r>
      <w:r>
        <w:rPr>
          <w:color w:val="231F20"/>
          <w:spacing w:val="21"/>
          <w:sz w:val="29"/>
        </w:rPr>
        <w:t>施品牌战略，培育一批具有长沙特色、管理规范、服务标准的龙头企业，加快形成产业链长、覆盖领域广、经济社会效益显著的养老服务产业集群，逐步推动社会力量成为发展养老服务业的主</w:t>
      </w:r>
      <w:r>
        <w:rPr>
          <w:color w:val="231F20"/>
          <w:spacing w:val="11"/>
          <w:sz w:val="29"/>
        </w:rPr>
        <w:t>体，促进老年消费市场的繁荣发展。</w:t>
      </w:r>
    </w:p>
    <w:p>
      <w:pPr>
        <w:pStyle w:val="6"/>
        <w:numPr>
          <w:ilvl w:val="0"/>
          <w:numId w:val="7"/>
        </w:numPr>
        <w:tabs>
          <w:tab w:val="left" w:pos="1017"/>
        </w:tabs>
        <w:spacing w:before="40" w:after="0" w:line="338" w:lineRule="auto"/>
        <w:ind w:left="113" w:right="255" w:firstLine="620"/>
        <w:jc w:val="both"/>
        <w:rPr>
          <w:sz w:val="29"/>
        </w:rPr>
      </w:pPr>
      <w:r>
        <w:rPr>
          <w:color w:val="231F20"/>
          <w:spacing w:val="23"/>
          <w:sz w:val="29"/>
        </w:rPr>
        <w:t>推动老年用品生产研发。支持新兴材料、人工智能、虚拟</w:t>
      </w:r>
      <w:r>
        <w:rPr>
          <w:color w:val="231F20"/>
          <w:spacing w:val="21"/>
          <w:sz w:val="29"/>
        </w:rPr>
        <w:t>现实等新材料新技术在养老服务领域的应用与推广。开发适老化技术和产品，重点发展适老康复辅助器具、智能穿戴设备、服务</w:t>
      </w:r>
    </w:p>
    <w:p>
      <w:pPr>
        <w:spacing w:after="0" w:line="338" w:lineRule="auto"/>
        <w:jc w:val="both"/>
        <w:rPr>
          <w:sz w:val="29"/>
        </w:rPr>
        <w:sectPr>
          <w:pgSz w:w="11910" w:h="16840"/>
          <w:pgMar w:top="1580" w:right="1220" w:bottom="1940" w:left="1420" w:header="0" w:footer="1755" w:gutter="0"/>
          <w:cols w:space="720" w:num="1"/>
        </w:sectPr>
      </w:pPr>
    </w:p>
    <w:p>
      <w:pPr>
        <w:pStyle w:val="2"/>
        <w:spacing w:before="9"/>
        <w:rPr>
          <w:sz w:val="7"/>
        </w:rPr>
      </w:pPr>
    </w:p>
    <w:p>
      <w:pPr>
        <w:pStyle w:val="2"/>
        <w:spacing w:before="3" w:line="338" w:lineRule="auto"/>
        <w:ind w:left="117" w:right="183"/>
      </w:pPr>
      <w:r>
        <w:rPr>
          <w:color w:val="231F20"/>
        </w:rPr>
        <w:t>型机器人与无障碍科技产品。培育老年消费市场，推动老年用品进家庭、社区、机构和园区，带动产品供给和产业发展。</w:t>
      </w:r>
    </w:p>
    <w:p>
      <w:pPr>
        <w:pStyle w:val="6"/>
        <w:numPr>
          <w:ilvl w:val="0"/>
          <w:numId w:val="7"/>
        </w:numPr>
        <w:tabs>
          <w:tab w:val="left" w:pos="1010"/>
        </w:tabs>
        <w:spacing w:before="40" w:after="0" w:line="338" w:lineRule="auto"/>
        <w:ind w:left="117" w:right="101" w:firstLine="619"/>
        <w:jc w:val="left"/>
        <w:rPr>
          <w:sz w:val="29"/>
        </w:rPr>
      </w:pPr>
      <w:r>
        <w:rPr>
          <w:color w:val="231F20"/>
          <w:spacing w:val="15"/>
          <w:sz w:val="29"/>
        </w:rPr>
        <w:t>促进多业态融合发展。整合各方力量，大力推进“养老</w:t>
      </w:r>
      <w:r>
        <w:rPr>
          <w:rFonts w:ascii="Times New Roman" w:hAnsi="Times New Roman" w:eastAsia="Times New Roman"/>
          <w:color w:val="231F20"/>
          <w:spacing w:val="3"/>
          <w:sz w:val="29"/>
        </w:rPr>
        <w:t>+N</w:t>
      </w:r>
      <w:r>
        <w:rPr>
          <w:color w:val="231F20"/>
          <w:spacing w:val="3"/>
          <w:sz w:val="29"/>
        </w:rPr>
        <w:t xml:space="preserve">” </w:t>
      </w:r>
      <w:r>
        <w:rPr>
          <w:color w:val="231F20"/>
          <w:spacing w:val="20"/>
          <w:sz w:val="29"/>
        </w:rPr>
        <w:t>多业态融合发展， 促进养老服务业与教育、医疗、养生、文化、</w:t>
      </w:r>
      <w:r>
        <w:rPr>
          <w:color w:val="231F20"/>
          <w:spacing w:val="21"/>
          <w:sz w:val="29"/>
        </w:rPr>
        <w:t xml:space="preserve">旅游、体育等产业的深度融合，推动形成具有本地特色的旅居养 </w:t>
      </w:r>
      <w:r>
        <w:rPr>
          <w:color w:val="231F20"/>
          <w:spacing w:val="11"/>
          <w:sz w:val="29"/>
        </w:rPr>
        <w:t>老、文化养老、健康养老、养生养老等新业态。</w:t>
      </w:r>
    </w:p>
    <w:p>
      <w:pPr>
        <w:pStyle w:val="2"/>
        <w:spacing w:before="49"/>
        <w:ind w:left="632"/>
        <w:rPr>
          <w:rFonts w:hint="eastAsia" w:ascii="方正楷体_GBK" w:eastAsia="方正楷体_GBK"/>
        </w:rPr>
      </w:pPr>
      <w:r>
        <w:rPr>
          <w:rFonts w:hint="eastAsia" w:ascii="方正楷体_GBK" w:eastAsia="方正楷体_GBK"/>
          <w:color w:val="231F20"/>
        </w:rPr>
        <w:t>（六） 促进医养康养相结合</w:t>
      </w:r>
    </w:p>
    <w:p>
      <w:pPr>
        <w:pStyle w:val="6"/>
        <w:numPr>
          <w:ilvl w:val="0"/>
          <w:numId w:val="8"/>
        </w:numPr>
        <w:tabs>
          <w:tab w:val="left" w:pos="1026"/>
        </w:tabs>
        <w:spacing w:before="175" w:after="0" w:line="338" w:lineRule="auto"/>
        <w:ind w:left="117" w:right="102" w:firstLine="619"/>
        <w:jc w:val="left"/>
        <w:rPr>
          <w:sz w:val="29"/>
        </w:rPr>
      </w:pPr>
      <w:r>
        <w:rPr>
          <w:color w:val="231F20"/>
          <w:spacing w:val="28"/>
          <w:sz w:val="29"/>
        </w:rPr>
        <w:t>推进居家社区医养结合服务。支持医疗机构为居家高龄、</w:t>
      </w:r>
      <w:r>
        <w:rPr>
          <w:color w:val="231F20"/>
          <w:spacing w:val="21"/>
          <w:sz w:val="29"/>
        </w:rPr>
        <w:t xml:space="preserve">重病、失能等老年重点人群提供家庭病床、上门巡诊等居家医疗服务。推进基层医疗卫生机构和医务人员与居家老人建立签约服务关系，为老年人提供连续性的健康管理和医疗服务。推动街道社区卫生服务中心与街道综合养老服务中心、乡镇卫生院与乡镇 </w:t>
      </w:r>
      <w:r>
        <w:rPr>
          <w:color w:val="231F20"/>
          <w:spacing w:val="-3"/>
          <w:sz w:val="29"/>
        </w:rPr>
        <w:t xml:space="preserve">敬老院 </w:t>
      </w:r>
      <w:r>
        <w:rPr>
          <w:color w:val="231F20"/>
          <w:spacing w:val="-28"/>
          <w:sz w:val="29"/>
        </w:rPr>
        <w:t>（</w:t>
      </w:r>
      <w:r>
        <w:rPr>
          <w:color w:val="231F20"/>
          <w:spacing w:val="11"/>
          <w:sz w:val="29"/>
        </w:rPr>
        <w:t>乡镇综合养老服务中心</w:t>
      </w:r>
      <w:r>
        <w:rPr>
          <w:color w:val="231F20"/>
          <w:spacing w:val="-86"/>
          <w:sz w:val="29"/>
        </w:rPr>
        <w:t>）</w:t>
      </w:r>
      <w:r>
        <w:rPr>
          <w:color w:val="231F20"/>
          <w:spacing w:val="-3"/>
          <w:sz w:val="29"/>
        </w:rPr>
        <w:t xml:space="preserve">、社区 </w:t>
      </w:r>
      <w:r>
        <w:rPr>
          <w:color w:val="231F20"/>
          <w:spacing w:val="-28"/>
          <w:sz w:val="29"/>
        </w:rPr>
        <w:t>（村</w:t>
      </w:r>
      <w:r>
        <w:rPr>
          <w:color w:val="231F20"/>
          <w:sz w:val="29"/>
        </w:rPr>
        <w:t>）</w:t>
      </w:r>
      <w:r>
        <w:rPr>
          <w:color w:val="231F20"/>
          <w:spacing w:val="6"/>
          <w:sz w:val="29"/>
        </w:rPr>
        <w:t xml:space="preserve"> 卫生室与居家养老</w:t>
      </w:r>
      <w:r>
        <w:rPr>
          <w:color w:val="231F20"/>
          <w:spacing w:val="21"/>
          <w:sz w:val="29"/>
        </w:rPr>
        <w:t>服务站统筹规划、毗邻建设，鼓励通过托管、划转等方式，实现资源整合、服务衔接。实施社区医养结合能力提升项目，依托社</w:t>
      </w:r>
      <w:r>
        <w:rPr>
          <w:color w:val="231F20"/>
          <w:spacing w:val="10"/>
          <w:sz w:val="29"/>
        </w:rPr>
        <w:t xml:space="preserve">区卫生服务中心 </w:t>
      </w:r>
      <w:r>
        <w:rPr>
          <w:color w:val="231F20"/>
          <w:spacing w:val="-22"/>
          <w:sz w:val="29"/>
        </w:rPr>
        <w:t>（</w:t>
      </w:r>
      <w:r>
        <w:rPr>
          <w:color w:val="231F20"/>
          <w:spacing w:val="12"/>
          <w:sz w:val="29"/>
        </w:rPr>
        <w:t>乡镇卫生院</w:t>
      </w:r>
      <w:r>
        <w:rPr>
          <w:color w:val="231F20"/>
          <w:sz w:val="29"/>
        </w:rPr>
        <w:t>）</w:t>
      </w:r>
      <w:r>
        <w:rPr>
          <w:color w:val="231F20"/>
          <w:spacing w:val="2"/>
          <w:sz w:val="29"/>
        </w:rPr>
        <w:t xml:space="preserve"> 建设一批社区 </w:t>
      </w:r>
      <w:r>
        <w:rPr>
          <w:color w:val="231F20"/>
          <w:spacing w:val="-22"/>
          <w:sz w:val="29"/>
        </w:rPr>
        <w:t>（</w:t>
      </w:r>
      <w:r>
        <w:rPr>
          <w:color w:val="231F20"/>
          <w:sz w:val="29"/>
        </w:rPr>
        <w:t>乡镇）</w:t>
      </w:r>
      <w:r>
        <w:rPr>
          <w:color w:val="231F20"/>
          <w:spacing w:val="5"/>
          <w:sz w:val="29"/>
        </w:rPr>
        <w:t xml:space="preserve"> 医养结合</w:t>
      </w:r>
      <w:r>
        <w:rPr>
          <w:color w:val="231F20"/>
          <w:spacing w:val="21"/>
          <w:sz w:val="29"/>
        </w:rPr>
        <w:t xml:space="preserve">服务中心，改善基础设施条件，提高设备配置水平，提升医养结 </w:t>
      </w:r>
      <w:r>
        <w:rPr>
          <w:color w:val="231F20"/>
          <w:spacing w:val="10"/>
          <w:sz w:val="29"/>
        </w:rPr>
        <w:t>合服务能力。</w:t>
      </w:r>
    </w:p>
    <w:p>
      <w:pPr>
        <w:pStyle w:val="6"/>
        <w:numPr>
          <w:ilvl w:val="0"/>
          <w:numId w:val="8"/>
        </w:numPr>
        <w:tabs>
          <w:tab w:val="left" w:pos="1020"/>
        </w:tabs>
        <w:spacing w:before="40" w:after="0" w:line="338" w:lineRule="auto"/>
        <w:ind w:left="117" w:right="102" w:firstLine="619"/>
        <w:jc w:val="left"/>
        <w:rPr>
          <w:sz w:val="29"/>
        </w:rPr>
      </w:pPr>
      <w:r>
        <w:rPr>
          <w:color w:val="231F20"/>
          <w:spacing w:val="23"/>
          <w:sz w:val="29"/>
        </w:rPr>
        <w:t>加强机构医养结合服务。建立医疗卫生机构设置审批绿色</w:t>
      </w:r>
      <w:r>
        <w:rPr>
          <w:color w:val="231F20"/>
          <w:spacing w:val="15"/>
          <w:sz w:val="29"/>
        </w:rPr>
        <w:t>通道，支持养老机构开办符合老年人健康养老需求的老年护理院、</w:t>
      </w:r>
      <w:r>
        <w:rPr>
          <w:color w:val="231F20"/>
          <w:spacing w:val="21"/>
          <w:sz w:val="29"/>
        </w:rPr>
        <w:t xml:space="preserve">老年病医院、康复医院、医务室、门诊部等医疗卫生机构，符合 </w:t>
      </w:r>
      <w:r>
        <w:rPr>
          <w:color w:val="231F20"/>
          <w:spacing w:val="12"/>
          <w:sz w:val="29"/>
        </w:rPr>
        <w:t xml:space="preserve">条件的按规定可申请基本医疗保险协议管理。床位在 </w:t>
      </w:r>
      <w:r>
        <w:rPr>
          <w:rFonts w:ascii="Times New Roman" w:eastAsia="Times New Roman"/>
          <w:color w:val="231F20"/>
          <w:sz w:val="29"/>
        </w:rPr>
        <w:t>500</w:t>
      </w:r>
      <w:r>
        <w:rPr>
          <w:rFonts w:ascii="Times New Roman" w:eastAsia="Times New Roman"/>
          <w:color w:val="231F20"/>
          <w:spacing w:val="47"/>
          <w:sz w:val="29"/>
        </w:rPr>
        <w:t xml:space="preserve"> </w:t>
      </w:r>
      <w:r>
        <w:rPr>
          <w:color w:val="231F20"/>
          <w:spacing w:val="10"/>
          <w:sz w:val="29"/>
        </w:rPr>
        <w:t>张以上的</w:t>
      </w:r>
    </w:p>
    <w:p>
      <w:pPr>
        <w:spacing w:after="0" w:line="338" w:lineRule="auto"/>
        <w:jc w:val="left"/>
        <w:rPr>
          <w:sz w:val="29"/>
        </w:rPr>
        <w:sectPr>
          <w:pgSz w:w="11910" w:h="16840"/>
          <w:pgMar w:top="1580" w:right="1280" w:bottom="1940" w:left="1360" w:header="0" w:footer="1755" w:gutter="0"/>
          <w:cols w:space="720" w:num="1"/>
        </w:sectPr>
      </w:pPr>
    </w:p>
    <w:p>
      <w:pPr>
        <w:pStyle w:val="2"/>
        <w:spacing w:before="9"/>
        <w:rPr>
          <w:sz w:val="7"/>
        </w:rPr>
      </w:pPr>
    </w:p>
    <w:p>
      <w:pPr>
        <w:pStyle w:val="2"/>
        <w:spacing w:before="3" w:line="338" w:lineRule="auto"/>
        <w:ind w:left="253" w:right="116"/>
      </w:pPr>
      <w:r>
        <w:rPr>
          <w:color w:val="231F20"/>
        </w:rPr>
        <w:t>大型养老机构必须创造条件建设内设护理院、医务室、门诊部， 符合条件的可设置老年病医院、老年病康复医院。鼓励有条件的养老机构为居家老年人提供上门康复、护理服务。鼓励符合条件的医疗康复机构与养老机构合作，鼓励医疗机构转型为护理型养老机构。鼓励符合条件的执业医师到养老机构、社区老年照料机 构内设的医疗卫生机构多点执业，推进养老服务机构与周边医院、基层医疗卫生机构建立急救、转诊、巡诊等合作机制，以合作形 式为老年人提供便捷医疗服务。</w:t>
      </w:r>
    </w:p>
    <w:p>
      <w:pPr>
        <w:pStyle w:val="6"/>
        <w:numPr>
          <w:ilvl w:val="0"/>
          <w:numId w:val="8"/>
        </w:numPr>
        <w:tabs>
          <w:tab w:val="left" w:pos="1157"/>
        </w:tabs>
        <w:spacing w:before="40" w:after="0" w:line="338" w:lineRule="auto"/>
        <w:ind w:left="253" w:right="255" w:firstLine="620"/>
        <w:jc w:val="both"/>
        <w:rPr>
          <w:sz w:val="29"/>
        </w:rPr>
      </w:pPr>
      <w:r>
        <w:rPr>
          <w:color w:val="231F20"/>
          <w:spacing w:val="23"/>
          <w:sz w:val="29"/>
        </w:rPr>
        <w:t>健全老年健康服务体系。探索和鼓励中医医疗、护理、养</w:t>
      </w:r>
      <w:r>
        <w:rPr>
          <w:color w:val="231F20"/>
          <w:spacing w:val="21"/>
          <w:sz w:val="29"/>
        </w:rPr>
        <w:t>老、康复四位一体的新型养老模式，促进医养结合。推动开展安</w:t>
      </w:r>
      <w:r>
        <w:rPr>
          <w:color w:val="231F20"/>
          <w:spacing w:val="20"/>
          <w:sz w:val="29"/>
        </w:rPr>
        <w:t>宁疗护服务， 满足疾病终末期老年患者多元化服务需求， 开展</w:t>
      </w:r>
    </w:p>
    <w:p>
      <w:pPr>
        <w:pStyle w:val="2"/>
        <w:spacing w:line="338" w:lineRule="auto"/>
        <w:ind w:left="253" w:right="116" w:hanging="150"/>
      </w:pPr>
      <w:r>
        <w:rPr>
          <w:color w:val="231F20"/>
          <w:spacing w:val="20"/>
        </w:rPr>
        <w:t>“安宁疗护标准病房”创建工作，推动加快安宁疗护机构标准化、</w:t>
      </w:r>
      <w:r>
        <w:rPr>
          <w:color w:val="231F20"/>
          <w:spacing w:val="5"/>
        </w:rPr>
        <w:t xml:space="preserve">规范化建设。各区县 </w:t>
      </w:r>
      <w:r>
        <w:rPr>
          <w:color w:val="231F20"/>
          <w:spacing w:val="-30"/>
        </w:rPr>
        <w:t>（市</w:t>
      </w:r>
      <w:r>
        <w:rPr>
          <w:color w:val="231F20"/>
        </w:rPr>
        <w:t>）</w:t>
      </w:r>
      <w:r>
        <w:rPr>
          <w:color w:val="231F20"/>
          <w:spacing w:val="-12"/>
        </w:rPr>
        <w:t xml:space="preserve"> 至少要有 </w:t>
      </w:r>
      <w:r>
        <w:rPr>
          <w:rFonts w:ascii="Times New Roman" w:hAnsi="Times New Roman" w:eastAsia="Times New Roman"/>
          <w:color w:val="231F20"/>
        </w:rPr>
        <w:t>1</w:t>
      </w:r>
      <w:r>
        <w:rPr>
          <w:rFonts w:ascii="Times New Roman" w:hAnsi="Times New Roman" w:eastAsia="Times New Roman"/>
          <w:color w:val="231F20"/>
          <w:spacing w:val="-10"/>
        </w:rPr>
        <w:t xml:space="preserve"> </w:t>
      </w:r>
      <w:r>
        <w:rPr>
          <w:color w:val="231F20"/>
          <w:spacing w:val="12"/>
        </w:rPr>
        <w:t>家医疗机构或医养结合机构</w:t>
      </w:r>
      <w:r>
        <w:rPr>
          <w:color w:val="231F20"/>
          <w:spacing w:val="21"/>
        </w:rPr>
        <w:t xml:space="preserve">开展安宁疗护服务，为老年人提供治疗期住院、康复期护理、稳 </w:t>
      </w:r>
      <w:r>
        <w:rPr>
          <w:color w:val="231F20"/>
          <w:spacing w:val="15"/>
        </w:rPr>
        <w:t>定期生活照料、安宁疗护一体化的服务。着力构建包括健康教育、</w:t>
      </w:r>
      <w:r>
        <w:rPr>
          <w:color w:val="231F20"/>
          <w:spacing w:val="21"/>
        </w:rPr>
        <w:t xml:space="preserve">预防保健、疾病诊治、康复护理、长期照护、安宁疗护的综合连 </w:t>
      </w:r>
      <w:r>
        <w:rPr>
          <w:color w:val="231F20"/>
          <w:spacing w:val="15"/>
        </w:rPr>
        <w:t xml:space="preserve">续、覆盖城乡的老年健康服务体系。到 </w:t>
      </w:r>
      <w:r>
        <w:rPr>
          <w:rFonts w:ascii="Times New Roman" w:hAnsi="Times New Roman" w:eastAsia="Times New Roman"/>
          <w:color w:val="231F20"/>
        </w:rPr>
        <w:t>2025</w:t>
      </w:r>
      <w:r>
        <w:rPr>
          <w:rFonts w:ascii="Times New Roman" w:hAnsi="Times New Roman" w:eastAsia="Times New Roman"/>
          <w:color w:val="231F20"/>
          <w:spacing w:val="11"/>
        </w:rPr>
        <w:t xml:space="preserve"> </w:t>
      </w:r>
      <w:r>
        <w:rPr>
          <w:color w:val="231F20"/>
          <w:spacing w:val="17"/>
        </w:rPr>
        <w:t>年，全市二级及以上</w:t>
      </w:r>
      <w:r>
        <w:rPr>
          <w:color w:val="231F20"/>
          <w:spacing w:val="18"/>
        </w:rPr>
        <w:t xml:space="preserve">综合性医院设立老年医学科比例达 </w:t>
      </w:r>
      <w:r>
        <w:rPr>
          <w:rFonts w:ascii="Times New Roman" w:hAnsi="Times New Roman" w:eastAsia="Times New Roman"/>
          <w:color w:val="231F20"/>
          <w:spacing w:val="3"/>
        </w:rPr>
        <w:t>70%</w:t>
      </w:r>
      <w:r>
        <w:rPr>
          <w:color w:val="231F20"/>
          <w:spacing w:val="8"/>
        </w:rPr>
        <w:t>， 老年友善医疗卫生机构</w:t>
      </w:r>
      <w:r>
        <w:rPr>
          <w:color w:val="231F20"/>
          <w:spacing w:val="30"/>
        </w:rPr>
        <w:t>占比</w:t>
      </w:r>
      <w:r>
        <w:rPr>
          <w:rFonts w:ascii="Times New Roman" w:hAnsi="Times New Roman" w:eastAsia="Times New Roman"/>
          <w:color w:val="231F20"/>
          <w:spacing w:val="5"/>
        </w:rPr>
        <w:t>80%</w:t>
      </w:r>
      <w:r>
        <w:rPr>
          <w:color w:val="231F20"/>
        </w:rPr>
        <w:t>。</w:t>
      </w:r>
    </w:p>
    <w:p>
      <w:pPr>
        <w:pStyle w:val="2"/>
        <w:spacing w:before="48"/>
        <w:ind w:left="768"/>
        <w:rPr>
          <w:rFonts w:hint="eastAsia" w:ascii="方正楷体_GBK" w:eastAsia="方正楷体_GBK"/>
        </w:rPr>
      </w:pPr>
      <w:r>
        <w:rPr>
          <w:rFonts w:hint="eastAsia" w:ascii="方正楷体_GBK" w:eastAsia="方正楷体_GBK"/>
          <w:color w:val="231F20"/>
        </w:rPr>
        <w:t>（七） 促进老年人社会参与</w:t>
      </w:r>
    </w:p>
    <w:p>
      <w:pPr>
        <w:pStyle w:val="6"/>
        <w:numPr>
          <w:ilvl w:val="0"/>
          <w:numId w:val="9"/>
        </w:numPr>
        <w:tabs>
          <w:tab w:val="left" w:pos="1163"/>
        </w:tabs>
        <w:spacing w:before="175" w:after="0" w:line="338" w:lineRule="auto"/>
        <w:ind w:left="253" w:right="104" w:firstLine="620"/>
        <w:jc w:val="left"/>
        <w:rPr>
          <w:sz w:val="29"/>
        </w:rPr>
      </w:pPr>
      <w:r>
        <w:rPr>
          <w:color w:val="231F20"/>
          <w:spacing w:val="28"/>
          <w:sz w:val="29"/>
        </w:rPr>
        <w:t xml:space="preserve">扩大老年教育资源供给。将老年教育纳入终身教育体系， </w:t>
      </w:r>
      <w:r>
        <w:rPr>
          <w:color w:val="231F20"/>
          <w:spacing w:val="21"/>
          <w:sz w:val="29"/>
        </w:rPr>
        <w:t>研究制定老年教育发展政策举措，采取促进有条件的学校开展老</w:t>
      </w:r>
    </w:p>
    <w:p>
      <w:pPr>
        <w:spacing w:after="0" w:line="338" w:lineRule="auto"/>
        <w:jc w:val="left"/>
        <w:rPr>
          <w:sz w:val="29"/>
        </w:rPr>
        <w:sectPr>
          <w:pgSz w:w="11910" w:h="16840"/>
          <w:pgMar w:top="1580" w:right="1220" w:bottom="1940" w:left="1280" w:header="0" w:footer="1755" w:gutter="0"/>
          <w:cols w:space="720" w:num="1"/>
        </w:sectPr>
      </w:pPr>
    </w:p>
    <w:p>
      <w:pPr>
        <w:pStyle w:val="2"/>
        <w:spacing w:before="9"/>
        <w:rPr>
          <w:sz w:val="7"/>
        </w:rPr>
      </w:pPr>
    </w:p>
    <w:p>
      <w:pPr>
        <w:pStyle w:val="2"/>
        <w:spacing w:before="3" w:line="338" w:lineRule="auto"/>
        <w:ind w:left="117" w:right="251"/>
        <w:jc w:val="both"/>
      </w:pPr>
      <w:r>
        <w:rPr>
          <w:color w:val="231F20"/>
        </w:rPr>
        <w:t>年教育、支持社会力量举办老年大学 （学校） 等办法，推动扩大老年教育资源供给。鼓励有条件的高校、职业院校开设老年教育相关专业和课程，加强学科专业建设与人才培养。创新机制，推动部门、行业、企业、高校举办的老年大学面向社会开放办学。</w:t>
      </w:r>
    </w:p>
    <w:p>
      <w:pPr>
        <w:pStyle w:val="6"/>
        <w:numPr>
          <w:ilvl w:val="0"/>
          <w:numId w:val="9"/>
        </w:numPr>
        <w:tabs>
          <w:tab w:val="left" w:pos="1020"/>
        </w:tabs>
        <w:spacing w:before="40" w:after="0" w:line="338" w:lineRule="auto"/>
        <w:ind w:left="117" w:right="101" w:firstLine="619"/>
        <w:jc w:val="left"/>
        <w:rPr>
          <w:sz w:val="29"/>
        </w:rPr>
      </w:pPr>
      <w:r>
        <w:rPr>
          <w:color w:val="231F20"/>
          <w:spacing w:val="23"/>
          <w:sz w:val="29"/>
        </w:rPr>
        <w:t>提升老年文化体育服务质量。通过盘活空置房、公园、商</w:t>
      </w:r>
      <w:r>
        <w:rPr>
          <w:color w:val="231F20"/>
          <w:spacing w:val="18"/>
          <w:sz w:val="29"/>
        </w:rPr>
        <w:t xml:space="preserve">场等资源， 支持街道社区积极为老年人提供文化体育活动场所， </w:t>
      </w:r>
      <w:r>
        <w:rPr>
          <w:color w:val="231F20"/>
          <w:spacing w:val="20"/>
          <w:sz w:val="29"/>
        </w:rPr>
        <w:t>组织开展文化体育活动， 实现老年人娱乐、健身、文化、学习、</w:t>
      </w:r>
      <w:r>
        <w:rPr>
          <w:color w:val="231F20"/>
          <w:spacing w:val="21"/>
          <w:sz w:val="29"/>
        </w:rPr>
        <w:t xml:space="preserve">消费、交流等方面的结合。培养服务老年人的基层文体骨干，提高老年人文体活动参与率和质量。开发老年旅游产品和线路，提升老年旅游服务质量和水平。整合现有资源，设置适宜老年人的 </w:t>
      </w:r>
      <w:r>
        <w:rPr>
          <w:color w:val="231F20"/>
          <w:spacing w:val="11"/>
          <w:sz w:val="29"/>
        </w:rPr>
        <w:t>教育、文化、健身、交流场所。</w:t>
      </w:r>
    </w:p>
    <w:p>
      <w:pPr>
        <w:pStyle w:val="6"/>
        <w:numPr>
          <w:ilvl w:val="0"/>
          <w:numId w:val="9"/>
        </w:numPr>
        <w:tabs>
          <w:tab w:val="left" w:pos="1020"/>
        </w:tabs>
        <w:spacing w:before="40" w:after="0" w:line="338" w:lineRule="auto"/>
        <w:ind w:left="117" w:right="251" w:firstLine="619"/>
        <w:jc w:val="both"/>
        <w:rPr>
          <w:sz w:val="29"/>
        </w:rPr>
      </w:pPr>
      <w:r>
        <w:rPr>
          <w:color w:val="231F20"/>
          <w:spacing w:val="23"/>
          <w:sz w:val="29"/>
        </w:rPr>
        <w:t>鼓励老年人继续发挥作用。把老有所为同老有所养结合起</w:t>
      </w:r>
      <w:r>
        <w:rPr>
          <w:color w:val="231F20"/>
          <w:spacing w:val="21"/>
          <w:sz w:val="29"/>
        </w:rPr>
        <w:t>来，完善就业、志愿服务、社区治理等政策措施，充分发挥低龄老年人作用。在学校、医院等单位和社区家政服务、公共场所服务管理等行业，探索适合老年人灵活就业的模式。建立老年人才信息库，为有劳动意愿的老年人提供职业介绍、职业技能培训和</w:t>
      </w:r>
      <w:r>
        <w:rPr>
          <w:color w:val="231F20"/>
          <w:spacing w:val="8"/>
          <w:w w:val="101"/>
          <w:sz w:val="29"/>
        </w:rPr>
        <w:t>创新创业指导服务。深入开展“银龄行动”，引导老年人以志愿服</w:t>
      </w:r>
      <w:r>
        <w:rPr>
          <w:color w:val="231F20"/>
          <w:spacing w:val="21"/>
          <w:sz w:val="29"/>
        </w:rPr>
        <w:t>务形式积极参与移风易俗、民事调解、文教卫生等活动。发挥老</w:t>
      </w:r>
      <w:r>
        <w:rPr>
          <w:color w:val="231F20"/>
          <w:spacing w:val="11"/>
          <w:sz w:val="29"/>
        </w:rPr>
        <w:t>年人在家庭教育、家风传承等方面的积极作用。</w:t>
      </w:r>
    </w:p>
    <w:p>
      <w:pPr>
        <w:pStyle w:val="2"/>
        <w:spacing w:before="49"/>
        <w:ind w:left="632"/>
        <w:rPr>
          <w:rFonts w:hint="eastAsia" w:ascii="方正楷体_GBK" w:eastAsia="方正楷体_GBK"/>
        </w:rPr>
      </w:pPr>
      <w:r>
        <w:rPr>
          <w:rFonts w:hint="eastAsia" w:ascii="方正楷体_GBK" w:eastAsia="方正楷体_GBK"/>
          <w:color w:val="231F20"/>
        </w:rPr>
        <w:t>（八） 强化社会保障支撑</w:t>
      </w:r>
    </w:p>
    <w:p>
      <w:pPr>
        <w:pStyle w:val="6"/>
        <w:numPr>
          <w:ilvl w:val="0"/>
          <w:numId w:val="10"/>
        </w:numPr>
        <w:tabs>
          <w:tab w:val="left" w:pos="1020"/>
        </w:tabs>
        <w:spacing w:before="175" w:after="0" w:line="338" w:lineRule="auto"/>
        <w:ind w:left="117" w:right="251" w:firstLine="619"/>
        <w:jc w:val="left"/>
        <w:rPr>
          <w:sz w:val="29"/>
        </w:rPr>
      </w:pPr>
      <w:r>
        <w:rPr>
          <w:color w:val="231F20"/>
          <w:spacing w:val="23"/>
          <w:sz w:val="29"/>
        </w:rPr>
        <w:t>进一步提高养老保险待遇。鼓励城乡居民基本养老保险参</w:t>
      </w:r>
      <w:r>
        <w:rPr>
          <w:color w:val="231F20"/>
          <w:spacing w:val="21"/>
          <w:sz w:val="29"/>
        </w:rPr>
        <w:t>保人员按高档次缴费，落实为缴费困难群体政府代缴政策。全面</w:t>
      </w:r>
    </w:p>
    <w:p>
      <w:pPr>
        <w:spacing w:after="0" w:line="338" w:lineRule="auto"/>
        <w:jc w:val="left"/>
        <w:rPr>
          <w:sz w:val="29"/>
        </w:rPr>
        <w:sectPr>
          <w:pgSz w:w="11910" w:h="16840"/>
          <w:pgMar w:top="1580" w:right="1280" w:bottom="1940" w:left="1360" w:header="0" w:footer="1755" w:gutter="0"/>
          <w:cols w:space="720" w:num="1"/>
        </w:sectPr>
      </w:pPr>
    </w:p>
    <w:p>
      <w:pPr>
        <w:pStyle w:val="2"/>
        <w:spacing w:before="9"/>
        <w:rPr>
          <w:sz w:val="7"/>
        </w:rPr>
      </w:pPr>
    </w:p>
    <w:p>
      <w:pPr>
        <w:pStyle w:val="2"/>
        <w:spacing w:before="3" w:line="338" w:lineRule="auto"/>
        <w:ind w:left="253" w:right="116"/>
      </w:pPr>
      <w:r>
        <w:rPr>
          <w:color w:val="231F20"/>
        </w:rPr>
        <w:t>落实城乡居民基本养老保险待遇确定和基础养老金正常调整机制， 根据相关政策规定，结合我市经济社会发展实际，加发老年基础养老金，推动城乡居民养老保险待遇水平逐步提高。推动发展多层次、多支柱养老保险体系， 鼓励城乡居民通过购买社会保险、商业保险等方式为老年生活提供支撑保障。</w:t>
      </w:r>
    </w:p>
    <w:p>
      <w:pPr>
        <w:pStyle w:val="6"/>
        <w:numPr>
          <w:ilvl w:val="0"/>
          <w:numId w:val="10"/>
        </w:numPr>
        <w:tabs>
          <w:tab w:val="left" w:pos="1157"/>
        </w:tabs>
        <w:spacing w:before="40" w:after="0" w:line="338" w:lineRule="auto"/>
        <w:ind w:left="253" w:right="104" w:firstLine="620"/>
        <w:jc w:val="left"/>
        <w:rPr>
          <w:sz w:val="29"/>
        </w:rPr>
      </w:pPr>
      <w:r>
        <w:rPr>
          <w:color w:val="231F20"/>
          <w:spacing w:val="23"/>
          <w:sz w:val="29"/>
        </w:rPr>
        <w:t>完善基本养老服务制度。完善基本医疗保险门诊共济保障</w:t>
      </w:r>
      <w:r>
        <w:rPr>
          <w:color w:val="231F20"/>
          <w:spacing w:val="21"/>
          <w:sz w:val="29"/>
        </w:rPr>
        <w:t>机制，健全重大疾病医疗保险和救助制度。完善医保目录动态调</w:t>
      </w:r>
      <w:r>
        <w:rPr>
          <w:color w:val="231F20"/>
          <w:spacing w:val="5"/>
          <w:sz w:val="29"/>
        </w:rPr>
        <w:t>整机制， 将符合条件的“ 互联网</w:t>
      </w:r>
      <w:r>
        <w:rPr>
          <w:rFonts w:ascii="Times New Roman" w:hAnsi="Times New Roman" w:eastAsia="Times New Roman"/>
          <w:color w:val="231F20"/>
          <w:spacing w:val="11"/>
          <w:sz w:val="29"/>
        </w:rPr>
        <w:t>+</w:t>
      </w:r>
      <w:r>
        <w:rPr>
          <w:color w:val="231F20"/>
          <w:spacing w:val="13"/>
          <w:sz w:val="29"/>
        </w:rPr>
        <w:t>” 医疗服务费纳入医保支付范</w:t>
      </w:r>
      <w:r>
        <w:rPr>
          <w:color w:val="231F20"/>
          <w:spacing w:val="15"/>
          <w:sz w:val="29"/>
        </w:rPr>
        <w:t xml:space="preserve">围，落实异地就医结算。完善高龄补贴、基本养老服务补贴制度， </w:t>
      </w:r>
      <w:r>
        <w:rPr>
          <w:color w:val="231F20"/>
          <w:spacing w:val="21"/>
          <w:sz w:val="29"/>
        </w:rPr>
        <w:t>重点满足老年人急需的照护和康复护理等服务，优先保障经济困难或特殊老年人的服务需求。完善社会救助制度，发挥社会救助</w:t>
      </w:r>
    </w:p>
    <w:p>
      <w:pPr>
        <w:pStyle w:val="2"/>
        <w:ind w:left="103"/>
      </w:pPr>
      <w:r>
        <w:rPr>
          <w:color w:val="231F20"/>
        </w:rPr>
        <w:t>“兜底”作用。</w:t>
      </w:r>
    </w:p>
    <w:p>
      <w:pPr>
        <w:pStyle w:val="6"/>
        <w:numPr>
          <w:ilvl w:val="0"/>
          <w:numId w:val="10"/>
        </w:numPr>
        <w:tabs>
          <w:tab w:val="left" w:pos="1157"/>
        </w:tabs>
        <w:spacing w:before="173" w:after="0" w:line="338" w:lineRule="auto"/>
        <w:ind w:left="253" w:right="255" w:firstLine="620"/>
        <w:jc w:val="both"/>
        <w:rPr>
          <w:sz w:val="29"/>
        </w:rPr>
      </w:pPr>
      <w:r>
        <w:rPr>
          <w:color w:val="231F20"/>
          <w:spacing w:val="23"/>
          <w:sz w:val="29"/>
        </w:rPr>
        <w:t>探索建立长期护理保险制度。推进建立适应我市的长期护</w:t>
      </w:r>
      <w:r>
        <w:rPr>
          <w:color w:val="231F20"/>
          <w:spacing w:val="21"/>
          <w:sz w:val="29"/>
        </w:rPr>
        <w:t>理保险制度，保障长期失能人员的基本护理需求，重点解决重度失能人员长期护理保障问题，提高失能人员的生活质量，不断完</w:t>
      </w:r>
      <w:r>
        <w:rPr>
          <w:color w:val="231F20"/>
          <w:spacing w:val="11"/>
          <w:sz w:val="29"/>
        </w:rPr>
        <w:t>善与经济社会发展水平相协调的社会保障制度体系。</w:t>
      </w:r>
    </w:p>
    <w:p>
      <w:pPr>
        <w:pStyle w:val="2"/>
        <w:spacing w:before="48"/>
        <w:ind w:left="768"/>
        <w:rPr>
          <w:rFonts w:hint="eastAsia" w:ascii="方正楷体_GBK" w:eastAsia="方正楷体_GBK"/>
        </w:rPr>
      </w:pPr>
      <w:r>
        <w:rPr>
          <w:rFonts w:hint="eastAsia" w:ascii="方正楷体_GBK" w:eastAsia="方正楷体_GBK"/>
          <w:color w:val="231F20"/>
        </w:rPr>
        <w:t>（九） 推进社区托育服务设施建设</w:t>
      </w:r>
    </w:p>
    <w:p>
      <w:pPr>
        <w:pStyle w:val="6"/>
        <w:numPr>
          <w:ilvl w:val="0"/>
          <w:numId w:val="11"/>
        </w:numPr>
        <w:tabs>
          <w:tab w:val="left" w:pos="1157"/>
        </w:tabs>
        <w:spacing w:before="174" w:after="0" w:line="338" w:lineRule="auto"/>
        <w:ind w:left="253" w:right="255" w:firstLine="620"/>
        <w:jc w:val="both"/>
        <w:rPr>
          <w:sz w:val="29"/>
        </w:rPr>
      </w:pPr>
      <w:r>
        <w:rPr>
          <w:color w:val="231F20"/>
          <w:spacing w:val="23"/>
          <w:sz w:val="29"/>
        </w:rPr>
        <w:t>制定出台托育服务设施整体规划。根据人口规模、年龄结</w:t>
      </w:r>
      <w:r>
        <w:rPr>
          <w:color w:val="231F20"/>
          <w:spacing w:val="21"/>
          <w:sz w:val="29"/>
        </w:rPr>
        <w:t>构及其迁移变化趋势，制定出台长沙市托育服务机构布局和项目建设相关规划，新建、改扩建一批社区托育服务场所和设施，争</w:t>
      </w:r>
      <w:r>
        <w:rPr>
          <w:color w:val="231F20"/>
          <w:spacing w:val="18"/>
          <w:sz w:val="29"/>
        </w:rPr>
        <w:t xml:space="preserve">取乡镇托育机构、城市社区普惠托育服务机构全覆盖，到 </w:t>
      </w:r>
      <w:r>
        <w:rPr>
          <w:rFonts w:ascii="Times New Roman" w:eastAsia="Times New Roman"/>
          <w:color w:val="231F20"/>
          <w:sz w:val="29"/>
        </w:rPr>
        <w:t>2025</w:t>
      </w:r>
      <w:r>
        <w:rPr>
          <w:rFonts w:ascii="Times New Roman" w:eastAsia="Times New Roman"/>
          <w:color w:val="231F20"/>
          <w:spacing w:val="45"/>
          <w:sz w:val="29"/>
        </w:rPr>
        <w:t xml:space="preserve"> </w:t>
      </w:r>
      <w:r>
        <w:rPr>
          <w:color w:val="231F20"/>
          <w:sz w:val="29"/>
        </w:rPr>
        <w:t>年</w:t>
      </w:r>
      <w:r>
        <w:rPr>
          <w:color w:val="231F20"/>
          <w:spacing w:val="16"/>
          <w:sz w:val="29"/>
        </w:rPr>
        <w:t>底，每千人口拥有</w:t>
      </w:r>
      <w:r>
        <w:rPr>
          <w:rFonts w:ascii="Times New Roman" w:eastAsia="Times New Roman"/>
          <w:color w:val="231F20"/>
          <w:sz w:val="29"/>
        </w:rPr>
        <w:t>3</w:t>
      </w:r>
      <w:r>
        <w:rPr>
          <w:rFonts w:ascii="Times New Roman" w:eastAsia="Times New Roman"/>
          <w:color w:val="231F20"/>
          <w:spacing w:val="35"/>
          <w:sz w:val="29"/>
        </w:rPr>
        <w:t xml:space="preserve"> </w:t>
      </w:r>
      <w:r>
        <w:rPr>
          <w:color w:val="231F20"/>
          <w:spacing w:val="15"/>
          <w:sz w:val="29"/>
        </w:rPr>
        <w:t>岁以下婴幼儿托位数达</w:t>
      </w:r>
      <w:r>
        <w:rPr>
          <w:rFonts w:ascii="Times New Roman" w:eastAsia="Times New Roman"/>
          <w:color w:val="231F20"/>
          <w:sz w:val="29"/>
        </w:rPr>
        <w:t>4.5</w:t>
      </w:r>
      <w:r>
        <w:rPr>
          <w:rFonts w:ascii="Times New Roman" w:eastAsia="Times New Roman"/>
          <w:color w:val="231F20"/>
          <w:spacing w:val="35"/>
          <w:sz w:val="29"/>
        </w:rPr>
        <w:t xml:space="preserve"> </w:t>
      </w:r>
      <w:r>
        <w:rPr>
          <w:color w:val="231F20"/>
          <w:spacing w:val="8"/>
          <w:sz w:val="29"/>
        </w:rPr>
        <w:t>个以上。</w:t>
      </w:r>
    </w:p>
    <w:p>
      <w:pPr>
        <w:spacing w:after="0" w:line="338" w:lineRule="auto"/>
        <w:jc w:val="both"/>
        <w:rPr>
          <w:sz w:val="29"/>
        </w:rPr>
        <w:sectPr>
          <w:pgSz w:w="11910" w:h="16840"/>
          <w:pgMar w:top="1580" w:right="1220" w:bottom="1940" w:left="1280" w:header="0" w:footer="1755" w:gutter="0"/>
          <w:cols w:space="720" w:num="1"/>
        </w:sectPr>
      </w:pPr>
    </w:p>
    <w:p>
      <w:pPr>
        <w:pStyle w:val="2"/>
        <w:spacing w:before="6"/>
        <w:rPr>
          <w:sz w:val="7"/>
        </w:rPr>
      </w:pPr>
    </w:p>
    <w:p>
      <w:pPr>
        <w:pStyle w:val="6"/>
        <w:numPr>
          <w:ilvl w:val="0"/>
          <w:numId w:val="11"/>
        </w:numPr>
        <w:tabs>
          <w:tab w:val="left" w:pos="1018"/>
        </w:tabs>
        <w:spacing w:before="6" w:after="0" w:line="338" w:lineRule="auto"/>
        <w:ind w:left="117" w:right="251" w:firstLine="619"/>
        <w:jc w:val="both"/>
        <w:rPr>
          <w:sz w:val="29"/>
        </w:rPr>
      </w:pPr>
      <w:r>
        <w:rPr>
          <w:color w:val="231F20"/>
          <w:spacing w:val="18"/>
          <w:sz w:val="29"/>
        </w:rPr>
        <w:t xml:space="preserve">新建住宅小区配建托儿所。设计居住容量达 </w:t>
      </w:r>
      <w:r>
        <w:rPr>
          <w:rFonts w:ascii="Times New Roman" w:hAnsi="Times New Roman" w:eastAsia="Times New Roman"/>
          <w:color w:val="231F20"/>
          <w:sz w:val="29"/>
        </w:rPr>
        <w:t>1200</w:t>
      </w:r>
      <w:r>
        <w:rPr>
          <w:rFonts w:ascii="Times New Roman" w:hAnsi="Times New Roman" w:eastAsia="Times New Roman"/>
          <w:color w:val="231F20"/>
          <w:spacing w:val="40"/>
          <w:sz w:val="29"/>
        </w:rPr>
        <w:t xml:space="preserve"> </w:t>
      </w:r>
      <w:r>
        <w:rPr>
          <w:color w:val="231F20"/>
          <w:spacing w:val="16"/>
          <w:sz w:val="29"/>
        </w:rPr>
        <w:t>户以上的新建住宅小区， 按照《托儿所、幼儿园建筑设计规范》</w:t>
      </w:r>
      <w:r>
        <w:rPr>
          <w:color w:val="231F20"/>
          <w:spacing w:val="-3"/>
          <w:sz w:val="29"/>
        </w:rPr>
        <w:t>（</w:t>
      </w:r>
      <w:r>
        <w:rPr>
          <w:rFonts w:ascii="Times New Roman" w:hAnsi="Times New Roman" w:eastAsia="Times New Roman"/>
          <w:color w:val="231F20"/>
          <w:spacing w:val="-3"/>
          <w:sz w:val="29"/>
        </w:rPr>
        <w:t>JGJ39</w:t>
      </w:r>
      <w:r>
        <w:rPr>
          <w:color w:val="231F20"/>
          <w:spacing w:val="-3"/>
          <w:sz w:val="29"/>
        </w:rPr>
        <w:t>—</w:t>
      </w:r>
    </w:p>
    <w:p>
      <w:pPr>
        <w:pStyle w:val="2"/>
        <w:spacing w:before="39" w:line="338" w:lineRule="auto"/>
        <w:ind w:left="117" w:right="251"/>
        <w:jc w:val="both"/>
      </w:pPr>
      <w:r>
        <w:rPr>
          <w:rFonts w:ascii="Times New Roman" w:eastAsia="Times New Roman"/>
          <w:color w:val="231F20"/>
        </w:rPr>
        <w:t>2016</w:t>
      </w:r>
      <w:r>
        <w:rPr>
          <w:color w:val="231F20"/>
        </w:rPr>
        <w:t>）（</w:t>
      </w:r>
      <w:r>
        <w:rPr>
          <w:rFonts w:ascii="Times New Roman" w:eastAsia="Times New Roman"/>
          <w:color w:val="231F20"/>
        </w:rPr>
        <w:t xml:space="preserve">2019 </w:t>
      </w:r>
      <w:r>
        <w:rPr>
          <w:color w:val="231F20"/>
        </w:rPr>
        <w:t xml:space="preserve">年版） 要求， 按每 </w:t>
      </w:r>
      <w:r>
        <w:rPr>
          <w:rFonts w:ascii="Times New Roman" w:eastAsia="Times New Roman"/>
          <w:color w:val="231F20"/>
        </w:rPr>
        <w:t xml:space="preserve">1000 </w:t>
      </w:r>
      <w:r>
        <w:rPr>
          <w:color w:val="231F20"/>
        </w:rPr>
        <w:t xml:space="preserve">人配备 </w:t>
      </w:r>
      <w:r>
        <w:rPr>
          <w:rFonts w:ascii="Times New Roman" w:eastAsia="Times New Roman"/>
          <w:color w:val="231F20"/>
        </w:rPr>
        <w:t xml:space="preserve">10 </w:t>
      </w:r>
      <w:r>
        <w:rPr>
          <w:color w:val="231F20"/>
        </w:rPr>
        <w:t>个托位的标准专门设计和建设托儿所，</w:t>
      </w:r>
      <w:r>
        <w:rPr>
          <w:rFonts w:ascii="Times New Roman" w:eastAsia="Times New Roman"/>
          <w:color w:val="231F20"/>
        </w:rPr>
        <w:t xml:space="preserve">3 </w:t>
      </w:r>
      <w:r>
        <w:rPr>
          <w:color w:val="231F20"/>
        </w:rPr>
        <w:t>个班及以下的，可与幼儿园建筑按规定分区合建。托儿所与住宅同步规划、同步设计、同步建设、同步验收和同步交付，由政府主导举办普惠托育机构。</w:t>
      </w:r>
    </w:p>
    <w:p>
      <w:pPr>
        <w:pStyle w:val="6"/>
        <w:numPr>
          <w:ilvl w:val="0"/>
          <w:numId w:val="11"/>
        </w:numPr>
        <w:tabs>
          <w:tab w:val="left" w:pos="1020"/>
        </w:tabs>
        <w:spacing w:before="40" w:after="0" w:line="338" w:lineRule="auto"/>
        <w:ind w:left="117" w:right="251" w:firstLine="619"/>
        <w:jc w:val="both"/>
        <w:rPr>
          <w:sz w:val="29"/>
        </w:rPr>
      </w:pPr>
      <w:r>
        <w:rPr>
          <w:color w:val="231F20"/>
          <w:spacing w:val="23"/>
          <w:sz w:val="29"/>
        </w:rPr>
        <w:t>已建成居民小区改扩建托育机构。对符合改扩建条件的老</w:t>
      </w:r>
      <w:r>
        <w:rPr>
          <w:color w:val="231F20"/>
          <w:spacing w:val="21"/>
          <w:sz w:val="29"/>
        </w:rPr>
        <w:t>旧小区，由政府主导，居民参与，采取政府补贴、让渡小区公共收益、社会力量参与等方式，充分利用社区资源，协调设置室外</w:t>
      </w:r>
      <w:r>
        <w:rPr>
          <w:color w:val="231F20"/>
          <w:spacing w:val="11"/>
          <w:sz w:val="29"/>
        </w:rPr>
        <w:t>活动场地，改建、增建托育服务设施。</w:t>
      </w:r>
    </w:p>
    <w:p>
      <w:pPr>
        <w:pStyle w:val="2"/>
        <w:spacing w:before="49"/>
        <w:ind w:left="632"/>
        <w:rPr>
          <w:rFonts w:hint="eastAsia" w:ascii="方正楷体_GBK" w:eastAsia="方正楷体_GBK"/>
        </w:rPr>
      </w:pPr>
      <w:r>
        <w:rPr>
          <w:rFonts w:hint="eastAsia" w:ascii="方正楷体_GBK" w:eastAsia="方正楷体_GBK"/>
          <w:color w:val="231F20"/>
        </w:rPr>
        <w:t>（十） 支持多种形式的托育服务机构发展</w:t>
      </w:r>
    </w:p>
    <w:p>
      <w:pPr>
        <w:pStyle w:val="6"/>
        <w:numPr>
          <w:ilvl w:val="0"/>
          <w:numId w:val="12"/>
        </w:numPr>
        <w:tabs>
          <w:tab w:val="left" w:pos="1020"/>
        </w:tabs>
        <w:spacing w:before="175" w:after="0" w:line="338" w:lineRule="auto"/>
        <w:ind w:left="117" w:right="101" w:firstLine="619"/>
        <w:jc w:val="left"/>
        <w:rPr>
          <w:sz w:val="29"/>
        </w:rPr>
      </w:pPr>
      <w:r>
        <w:rPr>
          <w:color w:val="231F20"/>
          <w:spacing w:val="23"/>
          <w:sz w:val="29"/>
        </w:rPr>
        <w:t>支持社会力量开办托育服务机构。采取提供场地、减免租</w:t>
      </w:r>
      <w:r>
        <w:rPr>
          <w:color w:val="231F20"/>
          <w:spacing w:val="21"/>
          <w:sz w:val="29"/>
        </w:rPr>
        <w:t>金、补贴运营经费等措施，加大对社会力量开办托育服务机构的</w:t>
      </w:r>
      <w:r>
        <w:rPr>
          <w:color w:val="231F20"/>
          <w:spacing w:val="6"/>
          <w:sz w:val="29"/>
        </w:rPr>
        <w:t xml:space="preserve">支持。“十四五”期间，新建社会办普惠托育机构完成登记备案， </w:t>
      </w:r>
      <w:r>
        <w:rPr>
          <w:color w:val="231F20"/>
          <w:spacing w:val="3"/>
          <w:sz w:val="29"/>
        </w:rPr>
        <w:t xml:space="preserve">按实际收托数 </w:t>
      </w:r>
      <w:r>
        <w:rPr>
          <w:rFonts w:ascii="Times New Roman" w:hAnsi="Times New Roman" w:eastAsia="Times New Roman"/>
          <w:color w:val="231F20"/>
          <w:sz w:val="29"/>
        </w:rPr>
        <w:t>1</w:t>
      </w:r>
      <w:r>
        <w:rPr>
          <w:rFonts w:ascii="Times New Roman" w:hAnsi="Times New Roman" w:eastAsia="Times New Roman"/>
          <w:color w:val="231F20"/>
          <w:spacing w:val="-2"/>
          <w:sz w:val="29"/>
        </w:rPr>
        <w:t xml:space="preserve"> </w:t>
      </w:r>
      <w:r>
        <w:rPr>
          <w:color w:val="231F20"/>
          <w:spacing w:val="-6"/>
          <w:sz w:val="29"/>
        </w:rPr>
        <w:t xml:space="preserve">个托位 </w:t>
      </w:r>
      <w:r>
        <w:rPr>
          <w:rFonts w:ascii="Times New Roman" w:hAnsi="Times New Roman" w:eastAsia="Times New Roman"/>
          <w:color w:val="231F20"/>
          <w:sz w:val="29"/>
        </w:rPr>
        <w:t>1</w:t>
      </w:r>
      <w:r>
        <w:rPr>
          <w:rFonts w:ascii="Times New Roman" w:hAnsi="Times New Roman" w:eastAsia="Times New Roman"/>
          <w:color w:val="231F20"/>
          <w:spacing w:val="-2"/>
          <w:sz w:val="29"/>
        </w:rPr>
        <w:t xml:space="preserve"> </w:t>
      </w:r>
      <w:r>
        <w:rPr>
          <w:color w:val="231F20"/>
          <w:spacing w:val="15"/>
          <w:sz w:val="29"/>
        </w:rPr>
        <w:t>万元标准进行补贴。支持各类托育机构针</w:t>
      </w:r>
      <w:r>
        <w:rPr>
          <w:color w:val="231F20"/>
          <w:spacing w:val="21"/>
          <w:sz w:val="29"/>
        </w:rPr>
        <w:t xml:space="preserve">对社会需要和家庭需求，提供全日托、半日托、计时托、临时托 </w:t>
      </w:r>
      <w:r>
        <w:rPr>
          <w:color w:val="231F20"/>
          <w:spacing w:val="11"/>
          <w:sz w:val="29"/>
        </w:rPr>
        <w:t>等多样化、多层次的婴幼儿照护服务。</w:t>
      </w:r>
    </w:p>
    <w:p>
      <w:pPr>
        <w:pStyle w:val="6"/>
        <w:numPr>
          <w:ilvl w:val="0"/>
          <w:numId w:val="12"/>
        </w:numPr>
        <w:tabs>
          <w:tab w:val="left" w:pos="1019"/>
        </w:tabs>
        <w:spacing w:before="39" w:after="0" w:line="338" w:lineRule="auto"/>
        <w:ind w:left="117" w:right="251" w:firstLine="619"/>
        <w:jc w:val="both"/>
        <w:rPr>
          <w:sz w:val="29"/>
        </w:rPr>
      </w:pPr>
      <w:r>
        <w:rPr>
          <w:color w:val="231F20"/>
          <w:spacing w:val="25"/>
          <w:sz w:val="29"/>
        </w:rPr>
        <w:t>推动公办托育服务机构建设。</w:t>
      </w:r>
      <w:r>
        <w:rPr>
          <w:rFonts w:ascii="Times New Roman" w:eastAsia="Times New Roman"/>
          <w:color w:val="231F20"/>
          <w:sz w:val="29"/>
        </w:rPr>
        <w:t>2025</w:t>
      </w:r>
      <w:r>
        <w:rPr>
          <w:rFonts w:ascii="Times New Roman" w:eastAsia="Times New Roman"/>
          <w:color w:val="231F20"/>
          <w:spacing w:val="68"/>
          <w:sz w:val="29"/>
        </w:rPr>
        <w:t xml:space="preserve"> </w:t>
      </w:r>
      <w:r>
        <w:rPr>
          <w:color w:val="231F20"/>
          <w:spacing w:val="8"/>
          <w:sz w:val="29"/>
        </w:rPr>
        <w:t>年前， 建成市级托育服</w:t>
      </w:r>
      <w:r>
        <w:rPr>
          <w:color w:val="231F20"/>
          <w:spacing w:val="15"/>
          <w:sz w:val="29"/>
        </w:rPr>
        <w:t>务综合指导中心， 每个区县</w:t>
      </w:r>
      <w:r>
        <w:rPr>
          <w:color w:val="231F20"/>
          <w:spacing w:val="-19"/>
          <w:sz w:val="29"/>
        </w:rPr>
        <w:t>（市</w:t>
      </w:r>
      <w:r>
        <w:rPr>
          <w:color w:val="231F20"/>
          <w:sz w:val="29"/>
        </w:rPr>
        <w:t>）</w:t>
      </w:r>
      <w:r>
        <w:rPr>
          <w:color w:val="231F20"/>
          <w:spacing w:val="2"/>
          <w:sz w:val="29"/>
        </w:rPr>
        <w:t xml:space="preserve"> 至少建成 </w:t>
      </w:r>
      <w:r>
        <w:rPr>
          <w:rFonts w:ascii="Times New Roman" w:eastAsia="Times New Roman"/>
          <w:color w:val="231F20"/>
          <w:sz w:val="29"/>
        </w:rPr>
        <w:t>1</w:t>
      </w:r>
      <w:r>
        <w:rPr>
          <w:rFonts w:ascii="Times New Roman" w:eastAsia="Times New Roman"/>
          <w:color w:val="231F20"/>
          <w:spacing w:val="21"/>
          <w:sz w:val="29"/>
        </w:rPr>
        <w:t xml:space="preserve"> </w:t>
      </w:r>
      <w:r>
        <w:rPr>
          <w:color w:val="231F20"/>
          <w:spacing w:val="21"/>
          <w:sz w:val="29"/>
        </w:rPr>
        <w:t>个公办托育服务机构，充分发挥公办托育服务机构示范引领、带动辐射作用，为全</w:t>
      </w:r>
      <w:r>
        <w:rPr>
          <w:color w:val="231F20"/>
          <w:spacing w:val="11"/>
          <w:sz w:val="29"/>
        </w:rPr>
        <w:t>市托育服务机构高质量发展提供技术支撑及样板标杆。</w:t>
      </w:r>
    </w:p>
    <w:p>
      <w:pPr>
        <w:pStyle w:val="6"/>
        <w:numPr>
          <w:ilvl w:val="0"/>
          <w:numId w:val="12"/>
        </w:numPr>
        <w:tabs>
          <w:tab w:val="left" w:pos="1020"/>
        </w:tabs>
        <w:spacing w:before="39" w:after="0" w:line="240" w:lineRule="auto"/>
        <w:ind w:left="117" w:right="0" w:firstLine="619"/>
        <w:jc w:val="left"/>
        <w:rPr>
          <w:sz w:val="29"/>
        </w:rPr>
      </w:pPr>
      <w:r>
        <w:rPr>
          <w:color w:val="231F20"/>
          <w:spacing w:val="23"/>
          <w:sz w:val="29"/>
        </w:rPr>
        <w:t>鼓励支持有条件的幼儿园开设托班。加大婴幼儿照护资源</w:t>
      </w:r>
    </w:p>
    <w:p>
      <w:pPr>
        <w:spacing w:after="0" w:line="240" w:lineRule="auto"/>
        <w:jc w:val="left"/>
        <w:rPr>
          <w:sz w:val="29"/>
        </w:rPr>
        <w:sectPr>
          <w:pgSz w:w="11910" w:h="16840"/>
          <w:pgMar w:top="1580" w:right="1280" w:bottom="1940" w:left="1360" w:header="0" w:footer="1755" w:gutter="0"/>
          <w:cols w:space="720" w:num="1"/>
        </w:sectPr>
      </w:pPr>
    </w:p>
    <w:p>
      <w:pPr>
        <w:pStyle w:val="2"/>
        <w:spacing w:before="9"/>
        <w:rPr>
          <w:sz w:val="7"/>
        </w:rPr>
      </w:pPr>
    </w:p>
    <w:p>
      <w:pPr>
        <w:pStyle w:val="2"/>
        <w:spacing w:before="3" w:line="338" w:lineRule="auto"/>
        <w:ind w:left="213" w:right="124"/>
      </w:pPr>
      <w:r>
        <w:rPr>
          <w:color w:val="231F20"/>
          <w:spacing w:val="21"/>
        </w:rPr>
        <w:t xml:space="preserve">统筹力度，探索托幼一体化协同发展模式。鼓励支持有条件的幼 </w:t>
      </w:r>
      <w:r>
        <w:rPr>
          <w:color w:val="231F20"/>
          <w:spacing w:val="6"/>
        </w:rPr>
        <w:t xml:space="preserve">儿园充分满足 </w:t>
      </w:r>
      <w:r>
        <w:rPr>
          <w:rFonts w:ascii="Times New Roman" w:eastAsia="Times New Roman"/>
          <w:color w:val="231F20"/>
          <w:spacing w:val="6"/>
        </w:rPr>
        <w:t>3</w:t>
      </w:r>
      <w:r>
        <w:rPr>
          <w:color w:val="231F20"/>
          <w:spacing w:val="6"/>
        </w:rPr>
        <w:t>～</w:t>
      </w:r>
      <w:r>
        <w:rPr>
          <w:rFonts w:ascii="Times New Roman" w:eastAsia="Times New Roman"/>
          <w:color w:val="231F20"/>
          <w:spacing w:val="6"/>
        </w:rPr>
        <w:t>6</w:t>
      </w:r>
      <w:r>
        <w:rPr>
          <w:rFonts w:ascii="Times New Roman" w:eastAsia="Times New Roman"/>
          <w:color w:val="231F20"/>
          <w:spacing w:val="8"/>
        </w:rPr>
        <w:t xml:space="preserve"> </w:t>
      </w:r>
      <w:r>
        <w:rPr>
          <w:color w:val="231F20"/>
          <w:spacing w:val="18"/>
        </w:rPr>
        <w:t>岁适龄幼儿的入园需求后，利用现有资源开设</w:t>
      </w:r>
      <w:r>
        <w:rPr>
          <w:color w:val="231F20"/>
          <w:spacing w:val="-4"/>
        </w:rPr>
        <w:t xml:space="preserve">托班， 招收 </w:t>
      </w:r>
      <w:r>
        <w:rPr>
          <w:rFonts w:ascii="Times New Roman" w:eastAsia="Times New Roman"/>
          <w:color w:val="231F20"/>
          <w:spacing w:val="6"/>
        </w:rPr>
        <w:t>2</w:t>
      </w:r>
      <w:r>
        <w:rPr>
          <w:color w:val="231F20"/>
          <w:spacing w:val="6"/>
        </w:rPr>
        <w:t>～</w:t>
      </w:r>
      <w:r>
        <w:rPr>
          <w:rFonts w:ascii="Times New Roman" w:eastAsia="Times New Roman"/>
          <w:color w:val="231F20"/>
          <w:spacing w:val="6"/>
        </w:rPr>
        <w:t>3</w:t>
      </w:r>
      <w:r>
        <w:rPr>
          <w:rFonts w:ascii="Times New Roman" w:eastAsia="Times New Roman"/>
          <w:color w:val="231F20"/>
          <w:spacing w:val="36"/>
        </w:rPr>
        <w:t xml:space="preserve"> </w:t>
      </w:r>
      <w:r>
        <w:rPr>
          <w:color w:val="231F20"/>
          <w:spacing w:val="23"/>
        </w:rPr>
        <w:t>岁幼儿。鼓励支持公办和民办幼儿园通过改建、</w:t>
      </w:r>
      <w:r>
        <w:rPr>
          <w:color w:val="231F20"/>
          <w:spacing w:val="11"/>
        </w:rPr>
        <w:t>扩建等方式增加托班资源供给。</w:t>
      </w:r>
    </w:p>
    <w:p>
      <w:pPr>
        <w:pStyle w:val="6"/>
        <w:numPr>
          <w:ilvl w:val="0"/>
          <w:numId w:val="12"/>
        </w:numPr>
        <w:tabs>
          <w:tab w:val="left" w:pos="1117"/>
        </w:tabs>
        <w:spacing w:before="40" w:after="0" w:line="338" w:lineRule="auto"/>
        <w:ind w:left="213" w:right="104" w:firstLine="620"/>
        <w:jc w:val="left"/>
        <w:rPr>
          <w:sz w:val="29"/>
        </w:rPr>
      </w:pPr>
      <w:r>
        <w:rPr>
          <w:color w:val="231F20"/>
          <w:spacing w:val="23"/>
          <w:sz w:val="29"/>
        </w:rPr>
        <w:t xml:space="preserve">支持用人单位和园区开办托育机构。支持职工适龄子女达 </w:t>
      </w:r>
      <w:r>
        <w:rPr>
          <w:color w:val="231F20"/>
          <w:spacing w:val="-10"/>
          <w:sz w:val="29"/>
        </w:rPr>
        <w:t xml:space="preserve">到 </w:t>
      </w:r>
      <w:r>
        <w:rPr>
          <w:rFonts w:ascii="Times New Roman" w:eastAsia="Times New Roman"/>
          <w:color w:val="231F20"/>
          <w:sz w:val="29"/>
        </w:rPr>
        <w:t>15</w:t>
      </w:r>
      <w:r>
        <w:rPr>
          <w:rFonts w:ascii="Times New Roman" w:eastAsia="Times New Roman"/>
          <w:color w:val="231F20"/>
          <w:spacing w:val="8"/>
          <w:sz w:val="29"/>
        </w:rPr>
        <w:t xml:space="preserve"> </w:t>
      </w:r>
      <w:r>
        <w:rPr>
          <w:color w:val="231F20"/>
          <w:spacing w:val="18"/>
          <w:sz w:val="29"/>
        </w:rPr>
        <w:t>人以上的企事业单位和社会组织，采取单独或联合方式为职</w:t>
      </w:r>
      <w:r>
        <w:rPr>
          <w:color w:val="231F20"/>
          <w:spacing w:val="15"/>
          <w:sz w:val="29"/>
        </w:rPr>
        <w:t>工子女提供福利性婴幼儿照护服务，有条件的可向附近居民开放。</w:t>
      </w:r>
      <w:r>
        <w:rPr>
          <w:color w:val="231F20"/>
          <w:spacing w:val="-18"/>
          <w:sz w:val="29"/>
        </w:rPr>
        <w:t xml:space="preserve">到 </w:t>
      </w:r>
      <w:r>
        <w:rPr>
          <w:rFonts w:ascii="Times New Roman" w:eastAsia="Times New Roman"/>
          <w:color w:val="231F20"/>
          <w:sz w:val="29"/>
        </w:rPr>
        <w:t>2025</w:t>
      </w:r>
      <w:r>
        <w:rPr>
          <w:rFonts w:ascii="Times New Roman" w:eastAsia="Times New Roman"/>
          <w:color w:val="231F20"/>
          <w:spacing w:val="2"/>
          <w:sz w:val="29"/>
        </w:rPr>
        <w:t xml:space="preserve"> </w:t>
      </w:r>
      <w:r>
        <w:rPr>
          <w:color w:val="231F20"/>
          <w:spacing w:val="5"/>
          <w:sz w:val="29"/>
        </w:rPr>
        <w:t xml:space="preserve">年， 全市国家级产业园区均建成 </w:t>
      </w:r>
      <w:r>
        <w:rPr>
          <w:rFonts w:ascii="Times New Roman" w:eastAsia="Times New Roman"/>
          <w:color w:val="231F20"/>
          <w:sz w:val="29"/>
        </w:rPr>
        <w:t>1</w:t>
      </w:r>
      <w:r>
        <w:rPr>
          <w:rFonts w:ascii="Times New Roman" w:eastAsia="Times New Roman"/>
          <w:color w:val="231F20"/>
          <w:spacing w:val="2"/>
          <w:sz w:val="29"/>
        </w:rPr>
        <w:t xml:space="preserve"> </w:t>
      </w:r>
      <w:r>
        <w:rPr>
          <w:color w:val="231F20"/>
          <w:spacing w:val="21"/>
          <w:sz w:val="29"/>
        </w:rPr>
        <w:t>家服务园区职工的托育</w:t>
      </w:r>
      <w:r>
        <w:rPr>
          <w:color w:val="231F20"/>
          <w:spacing w:val="10"/>
          <w:sz w:val="29"/>
        </w:rPr>
        <w:t>服务机构。</w:t>
      </w:r>
    </w:p>
    <w:p>
      <w:pPr>
        <w:pStyle w:val="2"/>
        <w:spacing w:before="49"/>
        <w:ind w:left="95" w:right="2816"/>
        <w:jc w:val="center"/>
        <w:rPr>
          <w:rFonts w:hint="eastAsia" w:ascii="方正楷体_GBK" w:eastAsia="方正楷体_GBK"/>
        </w:rPr>
      </w:pPr>
      <w:r>
        <w:rPr>
          <w:rFonts w:hint="eastAsia" w:ascii="方正楷体_GBK" w:eastAsia="方正楷体_GBK"/>
          <w:color w:val="231F20"/>
        </w:rPr>
        <w:t>（十一） 促进托育服务行业高质量发展</w:t>
      </w:r>
    </w:p>
    <w:p>
      <w:pPr>
        <w:pStyle w:val="6"/>
        <w:numPr>
          <w:ilvl w:val="0"/>
          <w:numId w:val="13"/>
        </w:numPr>
        <w:tabs>
          <w:tab w:val="left" w:pos="1117"/>
        </w:tabs>
        <w:spacing w:before="175" w:after="0" w:line="338" w:lineRule="auto"/>
        <w:ind w:left="213" w:right="255" w:firstLine="620"/>
        <w:jc w:val="both"/>
        <w:rPr>
          <w:sz w:val="29"/>
        </w:rPr>
      </w:pPr>
      <w:r>
        <w:rPr>
          <w:color w:val="231F20"/>
          <w:spacing w:val="23"/>
          <w:sz w:val="29"/>
        </w:rPr>
        <w:t>规范托育机构管理。进一步完善托育机构登记备案实施办</w:t>
      </w:r>
      <w:r>
        <w:rPr>
          <w:color w:val="231F20"/>
          <w:spacing w:val="21"/>
          <w:sz w:val="29"/>
        </w:rPr>
        <w:t>法，加强托育机构整改指导工作，做好存量托育机构的合规化改</w:t>
      </w:r>
      <w:r>
        <w:rPr>
          <w:color w:val="231F20"/>
          <w:spacing w:val="20"/>
          <w:sz w:val="29"/>
        </w:rPr>
        <w:t>造，加强整改指导监督，</w:t>
      </w:r>
      <w:r>
        <w:rPr>
          <w:rFonts w:ascii="Times New Roman" w:eastAsia="Times New Roman"/>
          <w:color w:val="231F20"/>
          <w:spacing w:val="5"/>
          <w:sz w:val="29"/>
        </w:rPr>
        <w:t>2025</w:t>
      </w:r>
      <w:r>
        <w:rPr>
          <w:rFonts w:ascii="Times New Roman" w:eastAsia="Times New Roman"/>
          <w:color w:val="231F20"/>
          <w:spacing w:val="25"/>
          <w:sz w:val="29"/>
        </w:rPr>
        <w:t xml:space="preserve">  </w:t>
      </w:r>
      <w:r>
        <w:rPr>
          <w:color w:val="231F20"/>
          <w:spacing w:val="20"/>
          <w:sz w:val="29"/>
        </w:rPr>
        <w:t>年前，全市托育机构规范备案率达</w:t>
      </w:r>
    </w:p>
    <w:p>
      <w:pPr>
        <w:pStyle w:val="2"/>
        <w:spacing w:before="39" w:line="338" w:lineRule="auto"/>
        <w:ind w:left="213"/>
      </w:pPr>
      <w:r>
        <w:rPr>
          <w:rFonts w:ascii="Times New Roman" w:eastAsia="Times New Roman"/>
          <w:color w:val="231F20"/>
        </w:rPr>
        <w:t>60%</w:t>
      </w:r>
      <w:r>
        <w:rPr>
          <w:color w:val="231F20"/>
        </w:rPr>
        <w:t>。持续推进示范性托育机构创建工作，通过评选一批具有示范效应的托育机构， 提升全市托育机构照护服务质量。</w:t>
      </w:r>
      <w:r>
        <w:rPr>
          <w:rFonts w:ascii="Times New Roman" w:eastAsia="Times New Roman"/>
          <w:color w:val="231F20"/>
        </w:rPr>
        <w:t xml:space="preserve">2025  </w:t>
      </w:r>
      <w:r>
        <w:rPr>
          <w:color w:val="231F20"/>
        </w:rPr>
        <w:t>年前，</w:t>
      </w:r>
    </w:p>
    <w:p>
      <w:pPr>
        <w:pStyle w:val="2"/>
        <w:spacing w:before="39"/>
        <w:ind w:left="213"/>
      </w:pPr>
      <w:r>
        <w:rPr>
          <w:color w:val="231F20"/>
          <w:spacing w:val="16"/>
        </w:rPr>
        <w:t>每个街道至少建成</w:t>
      </w:r>
      <w:r>
        <w:rPr>
          <w:rFonts w:ascii="Times New Roman" w:eastAsia="Times New Roman"/>
          <w:color w:val="231F20"/>
        </w:rPr>
        <w:t>1</w:t>
      </w:r>
      <w:r>
        <w:rPr>
          <w:rFonts w:ascii="Times New Roman" w:eastAsia="Times New Roman"/>
          <w:color w:val="231F20"/>
          <w:spacing w:val="70"/>
        </w:rPr>
        <w:t xml:space="preserve"> </w:t>
      </w:r>
      <w:r>
        <w:rPr>
          <w:color w:val="231F20"/>
          <w:spacing w:val="10"/>
        </w:rPr>
        <w:t>家市级示范性托育机构。</w:t>
      </w:r>
    </w:p>
    <w:p>
      <w:pPr>
        <w:pStyle w:val="6"/>
        <w:numPr>
          <w:ilvl w:val="0"/>
          <w:numId w:val="13"/>
        </w:numPr>
        <w:tabs>
          <w:tab w:val="left" w:pos="1117"/>
        </w:tabs>
        <w:spacing w:before="173" w:after="0" w:line="338" w:lineRule="auto"/>
        <w:ind w:left="213" w:right="255" w:firstLine="620"/>
        <w:jc w:val="left"/>
        <w:rPr>
          <w:sz w:val="29"/>
        </w:rPr>
      </w:pPr>
      <w:r>
        <w:rPr>
          <w:color w:val="231F20"/>
          <w:spacing w:val="22"/>
          <w:sz w:val="29"/>
        </w:rPr>
        <w:t>加强托育机构指导。根据《国家卫生健康委办公厅关于印</w:t>
      </w:r>
      <w:r>
        <w:rPr>
          <w:color w:val="231F20"/>
          <w:spacing w:val="25"/>
          <w:sz w:val="29"/>
        </w:rPr>
        <w:t xml:space="preserve">发托育综合服务中心建设指南 </w:t>
      </w:r>
      <w:r>
        <w:rPr>
          <w:color w:val="231F20"/>
          <w:spacing w:val="-16"/>
          <w:sz w:val="29"/>
        </w:rPr>
        <w:t>（</w:t>
      </w:r>
      <w:r>
        <w:rPr>
          <w:color w:val="231F20"/>
          <w:spacing w:val="6"/>
          <w:sz w:val="29"/>
        </w:rPr>
        <w:t>试行</w:t>
      </w:r>
      <w:r>
        <w:rPr>
          <w:color w:val="231F20"/>
          <w:sz w:val="29"/>
        </w:rPr>
        <w:t>）</w:t>
      </w:r>
      <w:r>
        <w:rPr>
          <w:color w:val="231F20"/>
          <w:spacing w:val="1"/>
          <w:sz w:val="29"/>
        </w:rPr>
        <w:t xml:space="preserve"> 的通知》</w:t>
      </w:r>
      <w:r>
        <w:rPr>
          <w:color w:val="231F20"/>
          <w:spacing w:val="-16"/>
          <w:sz w:val="29"/>
        </w:rPr>
        <w:t>（</w:t>
      </w:r>
      <w:r>
        <w:rPr>
          <w:color w:val="231F20"/>
          <w:spacing w:val="25"/>
          <w:sz w:val="29"/>
        </w:rPr>
        <w:t>国卫办人口函</w:t>
      </w:r>
    </w:p>
    <w:p>
      <w:pPr>
        <w:pStyle w:val="2"/>
        <w:spacing w:before="39" w:line="338" w:lineRule="auto"/>
        <w:ind w:left="213" w:right="255" w:hanging="106"/>
        <w:jc w:val="both"/>
      </w:pPr>
      <w:r>
        <w:rPr>
          <w:color w:val="231F20"/>
        </w:rPr>
        <w:t>〔</w:t>
      </w:r>
      <w:r>
        <w:rPr>
          <w:rFonts w:ascii="Times New Roman" w:eastAsia="Times New Roman"/>
          <w:color w:val="231F20"/>
        </w:rPr>
        <w:t>2021</w:t>
      </w:r>
      <w:r>
        <w:rPr>
          <w:color w:val="231F20"/>
        </w:rPr>
        <w:t xml:space="preserve">〕 </w:t>
      </w:r>
      <w:r>
        <w:rPr>
          <w:rFonts w:ascii="Times New Roman" w:eastAsia="Times New Roman"/>
          <w:color w:val="231F20"/>
        </w:rPr>
        <w:t xml:space="preserve">629 </w:t>
      </w:r>
      <w:r>
        <w:rPr>
          <w:color w:val="231F20"/>
        </w:rPr>
        <w:t>号） 要求，高标准建设长沙市托育综合服务中心，设置一定规模的托育实训基地和相应管理用房，开展婴幼儿早期发展、托育从业人员培训、托育产品研发和标准设计、托育机构安全监督管理等工作，为全市托育服务机构高质量建设提供支撑。依托</w:t>
      </w:r>
    </w:p>
    <w:p>
      <w:pPr>
        <w:spacing w:after="0" w:line="338" w:lineRule="auto"/>
        <w:jc w:val="both"/>
        <w:sectPr>
          <w:pgSz w:w="11910" w:h="16840"/>
          <w:pgMar w:top="1580" w:right="1220" w:bottom="1940" w:left="1320" w:header="0" w:footer="1755" w:gutter="0"/>
          <w:cols w:space="720" w:num="1"/>
        </w:sectPr>
      </w:pPr>
    </w:p>
    <w:p>
      <w:pPr>
        <w:pStyle w:val="2"/>
        <w:spacing w:before="9"/>
        <w:rPr>
          <w:sz w:val="7"/>
        </w:rPr>
      </w:pPr>
    </w:p>
    <w:p>
      <w:pPr>
        <w:pStyle w:val="2"/>
        <w:spacing w:before="3" w:line="338" w:lineRule="auto"/>
        <w:ind w:left="117" w:right="101"/>
      </w:pPr>
      <w:r>
        <w:rPr>
          <w:color w:val="231F20"/>
        </w:rPr>
        <w:t>医院、高校、行业学会等资源，建立长沙市婴幼儿照护托育服务专家库，遴选组建一支涵盖婴幼儿照护托育服务各领域的专家团队， 在托育机构规划建设、运营管理，婴幼儿生长发育、健康营养、早 期发展等方面提供专业支持。</w:t>
      </w:r>
    </w:p>
    <w:p>
      <w:pPr>
        <w:pStyle w:val="6"/>
        <w:numPr>
          <w:ilvl w:val="0"/>
          <w:numId w:val="13"/>
        </w:numPr>
        <w:tabs>
          <w:tab w:val="left" w:pos="1020"/>
        </w:tabs>
        <w:spacing w:before="40" w:after="0" w:line="338" w:lineRule="auto"/>
        <w:ind w:left="117" w:right="251" w:firstLine="619"/>
        <w:jc w:val="both"/>
        <w:rPr>
          <w:sz w:val="29"/>
        </w:rPr>
      </w:pPr>
      <w:r>
        <w:rPr>
          <w:color w:val="231F20"/>
          <w:spacing w:val="17"/>
          <w:sz w:val="29"/>
        </w:rPr>
        <w:t>推进医育结合。充分发挥医疗卫生资源优势， 促进托育服</w:t>
      </w:r>
      <w:r>
        <w:rPr>
          <w:color w:val="231F20"/>
          <w:spacing w:val="21"/>
          <w:sz w:val="29"/>
        </w:rPr>
        <w:t>务与婴幼儿健康管理、儿童早期发展、儿科医疗服务和家庭医生签约服务等融合发展。依托长沙市妇幼保健院建设长沙市婴幼儿养育照护指导中心，实现托育机构、家庭与医疗卫生机构有效对</w:t>
      </w:r>
      <w:r>
        <w:rPr>
          <w:color w:val="231F20"/>
          <w:spacing w:val="11"/>
          <w:sz w:val="29"/>
        </w:rPr>
        <w:t>接，共同促进婴幼儿健康成长。</w:t>
      </w:r>
    </w:p>
    <w:p>
      <w:pPr>
        <w:pStyle w:val="2"/>
        <w:spacing w:before="49"/>
        <w:ind w:left="632"/>
        <w:rPr>
          <w:rFonts w:hint="eastAsia" w:ascii="方正楷体_GBK" w:eastAsia="方正楷体_GBK"/>
        </w:rPr>
      </w:pPr>
      <w:r>
        <w:rPr>
          <w:rFonts w:hint="eastAsia" w:ascii="方正楷体_GBK" w:eastAsia="方正楷体_GBK"/>
          <w:color w:val="231F20"/>
        </w:rPr>
        <w:t>（十二） 营造良好婴幼儿照护环境</w:t>
      </w:r>
    </w:p>
    <w:p>
      <w:pPr>
        <w:pStyle w:val="6"/>
        <w:numPr>
          <w:ilvl w:val="0"/>
          <w:numId w:val="14"/>
        </w:numPr>
        <w:tabs>
          <w:tab w:val="left" w:pos="1020"/>
        </w:tabs>
        <w:spacing w:before="175" w:after="0" w:line="338" w:lineRule="auto"/>
        <w:ind w:left="117" w:right="102" w:firstLine="619"/>
        <w:jc w:val="left"/>
        <w:rPr>
          <w:sz w:val="29"/>
        </w:rPr>
      </w:pPr>
      <w:r>
        <w:rPr>
          <w:color w:val="231F20"/>
          <w:spacing w:val="23"/>
          <w:sz w:val="29"/>
        </w:rPr>
        <w:t>加大家庭照护支持力度。全面落实产假、育儿假、配偶陪</w:t>
      </w:r>
      <w:r>
        <w:rPr>
          <w:color w:val="231F20"/>
          <w:spacing w:val="15"/>
          <w:sz w:val="29"/>
        </w:rPr>
        <w:t>护假、哺乳假等政策，鼓励用人单位以停薪留职、非全日制工作、</w:t>
      </w:r>
      <w:r>
        <w:rPr>
          <w:color w:val="231F20"/>
          <w:spacing w:val="21"/>
          <w:sz w:val="29"/>
        </w:rPr>
        <w:t xml:space="preserve">远程办公等方式，为家庭照护婴幼儿创造便利条件。保障工作权益，通过就业指导和职业技能培训等方式支持脱产照护婴幼儿的父母重返工作岗位，用人单位不得因女职工怀孕、生育、哺乳降低其工资、予以辞退、与其解除劳动或者聘用合同。女职工较多的用人单位应设置育婴室、哺乳室，采取灵活安排工作时间等措 </w:t>
      </w:r>
      <w:r>
        <w:rPr>
          <w:color w:val="231F20"/>
          <w:spacing w:val="11"/>
          <w:sz w:val="29"/>
        </w:rPr>
        <w:t>施，满足职工照护婴幼儿需求。</w:t>
      </w:r>
    </w:p>
    <w:p>
      <w:pPr>
        <w:pStyle w:val="6"/>
        <w:numPr>
          <w:ilvl w:val="0"/>
          <w:numId w:val="14"/>
        </w:numPr>
        <w:tabs>
          <w:tab w:val="left" w:pos="1020"/>
        </w:tabs>
        <w:spacing w:before="40" w:after="0" w:line="338" w:lineRule="auto"/>
        <w:ind w:left="117" w:right="251" w:firstLine="619"/>
        <w:jc w:val="both"/>
        <w:rPr>
          <w:sz w:val="29"/>
        </w:rPr>
      </w:pPr>
      <w:r>
        <w:rPr>
          <w:color w:val="231F20"/>
          <w:spacing w:val="23"/>
          <w:sz w:val="29"/>
        </w:rPr>
        <w:t>切实抓好婴幼儿基本公共服务。深化做好新生儿访视、膳</w:t>
      </w:r>
      <w:r>
        <w:rPr>
          <w:color w:val="231F20"/>
          <w:spacing w:val="21"/>
          <w:sz w:val="29"/>
        </w:rPr>
        <w:t>食营养、生长发育、预防接种、安全防护、疾病防控等婴幼儿基本公共卫生服务。支持以家庭为主的婴幼儿照护方式，积极推行</w:t>
      </w:r>
      <w:r>
        <w:rPr>
          <w:color w:val="231F20"/>
          <w:spacing w:val="8"/>
          <w:sz w:val="29"/>
        </w:rPr>
        <w:t xml:space="preserve">科学的育儿观，将 </w:t>
      </w:r>
      <w:r>
        <w:rPr>
          <w:rFonts w:ascii="Times New Roman" w:eastAsia="Times New Roman"/>
          <w:color w:val="231F20"/>
          <w:sz w:val="29"/>
        </w:rPr>
        <w:t>3</w:t>
      </w:r>
      <w:r>
        <w:rPr>
          <w:rFonts w:ascii="Times New Roman" w:eastAsia="Times New Roman"/>
          <w:color w:val="231F20"/>
          <w:spacing w:val="30"/>
          <w:sz w:val="29"/>
        </w:rPr>
        <w:t xml:space="preserve"> </w:t>
      </w:r>
      <w:r>
        <w:rPr>
          <w:color w:val="231F20"/>
          <w:spacing w:val="13"/>
          <w:sz w:val="29"/>
        </w:rPr>
        <w:t>岁以下婴幼儿照护家庭教育指导纳入基本公共</w:t>
      </w:r>
    </w:p>
    <w:p>
      <w:pPr>
        <w:spacing w:after="0" w:line="338" w:lineRule="auto"/>
        <w:jc w:val="both"/>
        <w:rPr>
          <w:sz w:val="29"/>
        </w:rPr>
        <w:sectPr>
          <w:footerReference r:id="rId9" w:type="default"/>
          <w:footerReference r:id="rId10" w:type="even"/>
          <w:pgSz w:w="11910" w:h="16840"/>
          <w:pgMar w:top="1580" w:right="1280" w:bottom="1940" w:left="1360" w:header="0" w:footer="1755" w:gutter="0"/>
          <w:pgNumType w:start="20"/>
          <w:cols w:space="720" w:num="1"/>
        </w:sectPr>
      </w:pPr>
    </w:p>
    <w:p>
      <w:pPr>
        <w:pStyle w:val="2"/>
        <w:spacing w:before="9"/>
        <w:rPr>
          <w:sz w:val="7"/>
        </w:rPr>
      </w:pPr>
    </w:p>
    <w:p>
      <w:pPr>
        <w:pStyle w:val="2"/>
        <w:spacing w:before="3" w:line="338" w:lineRule="auto"/>
        <w:ind w:left="113" w:right="101"/>
      </w:pPr>
      <w:r>
        <w:rPr>
          <w:color w:val="231F20"/>
        </w:rPr>
        <w:t>服务项目。搭建长沙市家庭科学育儿指导服务平台，为群众提供科学育儿服务。鼓励社区、婴幼儿照护机构或其他社会组织通过 入户指导、亲子活动、家长课堂、手机</w:t>
      </w:r>
      <w:r>
        <w:rPr>
          <w:rFonts w:ascii="Times New Roman" w:hAnsi="Times New Roman" w:eastAsia="Times New Roman"/>
          <w:color w:val="231F20"/>
        </w:rPr>
        <w:t>APP</w:t>
      </w:r>
      <w:r>
        <w:rPr>
          <w:color w:val="231F20"/>
        </w:rPr>
        <w:t>、“互联网</w:t>
      </w:r>
      <w:r>
        <w:rPr>
          <w:rFonts w:ascii="Times New Roman" w:hAnsi="Times New Roman" w:eastAsia="Times New Roman"/>
          <w:color w:val="231F20"/>
        </w:rPr>
        <w:t>+</w:t>
      </w:r>
      <w:r>
        <w:rPr>
          <w:color w:val="231F20"/>
        </w:rPr>
        <w:t>”等方式， 为婴幼儿家庭提供婴幼儿早期发展指导服务。</w:t>
      </w:r>
    </w:p>
    <w:p>
      <w:pPr>
        <w:pStyle w:val="6"/>
        <w:numPr>
          <w:ilvl w:val="0"/>
          <w:numId w:val="14"/>
        </w:numPr>
        <w:tabs>
          <w:tab w:val="left" w:pos="1017"/>
        </w:tabs>
        <w:spacing w:before="40" w:after="0" w:line="338" w:lineRule="auto"/>
        <w:ind w:left="113" w:right="255" w:firstLine="620"/>
        <w:jc w:val="both"/>
        <w:rPr>
          <w:sz w:val="29"/>
        </w:rPr>
      </w:pPr>
      <w:r>
        <w:rPr>
          <w:color w:val="231F20"/>
          <w:spacing w:val="23"/>
          <w:sz w:val="29"/>
        </w:rPr>
        <w:t>关注农村婴幼儿早期发展指导。在实施乡村振兴战略和农</w:t>
      </w:r>
      <w:r>
        <w:rPr>
          <w:color w:val="231F20"/>
          <w:spacing w:val="21"/>
          <w:sz w:val="29"/>
        </w:rPr>
        <w:t>村社区综合服务设施建设中，统筹考虑托育服务设施建设，推广婴幼儿早期发展项目。加大对农村偏远地区婴幼儿照护服务的支</w:t>
      </w:r>
      <w:r>
        <w:rPr>
          <w:color w:val="231F20"/>
          <w:spacing w:val="8"/>
          <w:sz w:val="29"/>
        </w:rPr>
        <w:t>持力度。</w:t>
      </w:r>
    </w:p>
    <w:p>
      <w:pPr>
        <w:pStyle w:val="2"/>
        <w:spacing w:before="49"/>
        <w:ind w:left="628"/>
        <w:rPr>
          <w:rFonts w:hint="eastAsia" w:ascii="方正楷体_GBK" w:eastAsia="方正楷体_GBK"/>
        </w:rPr>
      </w:pPr>
      <w:r>
        <w:rPr>
          <w:rFonts w:hint="eastAsia" w:ascii="方正楷体_GBK" w:eastAsia="方正楷体_GBK"/>
          <w:color w:val="231F20"/>
        </w:rPr>
        <w:t>（十三） 推进儿童友好城市建设</w:t>
      </w:r>
    </w:p>
    <w:p>
      <w:pPr>
        <w:pStyle w:val="6"/>
        <w:numPr>
          <w:ilvl w:val="0"/>
          <w:numId w:val="15"/>
        </w:numPr>
        <w:tabs>
          <w:tab w:val="left" w:pos="1017"/>
        </w:tabs>
        <w:spacing w:before="175" w:after="0" w:line="338" w:lineRule="auto"/>
        <w:ind w:left="113" w:right="104" w:firstLine="620"/>
        <w:jc w:val="left"/>
        <w:rPr>
          <w:sz w:val="29"/>
        </w:rPr>
      </w:pPr>
      <w:r>
        <w:rPr>
          <w:color w:val="231F20"/>
          <w:spacing w:val="23"/>
          <w:sz w:val="29"/>
        </w:rPr>
        <w:t>争创儿童友好试点城市。建立儿童参与社会公共事务的体</w:t>
      </w:r>
      <w:r>
        <w:rPr>
          <w:color w:val="231F20"/>
          <w:spacing w:val="15"/>
          <w:sz w:val="29"/>
        </w:rPr>
        <w:t xml:space="preserve">制机制，健全儿童社会保障制度，逐步完善普惠型儿童福利体系， </w:t>
      </w:r>
      <w:r>
        <w:rPr>
          <w:color w:val="231F20"/>
          <w:spacing w:val="18"/>
          <w:sz w:val="29"/>
        </w:rPr>
        <w:t xml:space="preserve">促进公共资源向儿童优先配置，全面构建儿童友好空间。到 </w:t>
      </w:r>
      <w:r>
        <w:rPr>
          <w:rFonts w:ascii="Times New Roman" w:eastAsia="Times New Roman"/>
          <w:color w:val="231F20"/>
          <w:sz w:val="29"/>
        </w:rPr>
        <w:t xml:space="preserve">2025 </w:t>
      </w:r>
      <w:r>
        <w:rPr>
          <w:color w:val="231F20"/>
          <w:spacing w:val="21"/>
          <w:sz w:val="29"/>
        </w:rPr>
        <w:t>年，评选</w:t>
      </w:r>
      <w:r>
        <w:rPr>
          <w:rFonts w:ascii="Times New Roman" w:eastAsia="Times New Roman"/>
          <w:color w:val="231F20"/>
          <w:sz w:val="29"/>
        </w:rPr>
        <w:t>60</w:t>
      </w:r>
      <w:r>
        <w:rPr>
          <w:rFonts w:ascii="Times New Roman" w:eastAsia="Times New Roman"/>
          <w:color w:val="231F20"/>
          <w:spacing w:val="0"/>
          <w:sz w:val="29"/>
        </w:rPr>
        <w:t xml:space="preserve"> </w:t>
      </w:r>
      <w:r>
        <w:rPr>
          <w:color w:val="231F20"/>
          <w:spacing w:val="12"/>
          <w:sz w:val="29"/>
        </w:rPr>
        <w:t>个儿童友好小区、</w:t>
      </w:r>
      <w:r>
        <w:rPr>
          <w:rFonts w:ascii="Times New Roman" w:eastAsia="Times New Roman"/>
          <w:color w:val="231F20"/>
          <w:sz w:val="29"/>
        </w:rPr>
        <w:t>100</w:t>
      </w:r>
      <w:r>
        <w:rPr>
          <w:rFonts w:ascii="Times New Roman" w:eastAsia="Times New Roman"/>
          <w:color w:val="231F20"/>
          <w:spacing w:val="0"/>
          <w:sz w:val="29"/>
        </w:rPr>
        <w:t xml:space="preserve"> </w:t>
      </w:r>
      <w:r>
        <w:rPr>
          <w:color w:val="231F20"/>
          <w:spacing w:val="11"/>
          <w:sz w:val="29"/>
        </w:rPr>
        <w:t>所儿童友好示范学校，新增儿童</w:t>
      </w:r>
      <w:r>
        <w:rPr>
          <w:color w:val="231F20"/>
          <w:spacing w:val="12"/>
          <w:sz w:val="29"/>
        </w:rPr>
        <w:t xml:space="preserve">友好示范公园不少于 </w:t>
      </w:r>
      <w:r>
        <w:rPr>
          <w:rFonts w:ascii="Times New Roman" w:eastAsia="Times New Roman"/>
          <w:color w:val="231F20"/>
          <w:sz w:val="29"/>
        </w:rPr>
        <w:t>12</w:t>
      </w:r>
      <w:r>
        <w:rPr>
          <w:rFonts w:ascii="Times New Roman" w:eastAsia="Times New Roman"/>
          <w:color w:val="231F20"/>
          <w:spacing w:val="5"/>
          <w:sz w:val="29"/>
        </w:rPr>
        <w:t xml:space="preserve"> </w:t>
      </w:r>
      <w:r>
        <w:rPr>
          <w:color w:val="231F20"/>
          <w:spacing w:val="13"/>
          <w:sz w:val="29"/>
        </w:rPr>
        <w:t xml:space="preserve">个，实现每个社区至少有 </w:t>
      </w:r>
      <w:r>
        <w:rPr>
          <w:rFonts w:ascii="Times New Roman" w:eastAsia="Times New Roman"/>
          <w:color w:val="231F20"/>
          <w:sz w:val="29"/>
        </w:rPr>
        <w:t>1</w:t>
      </w:r>
      <w:r>
        <w:rPr>
          <w:rFonts w:ascii="Times New Roman" w:eastAsia="Times New Roman"/>
          <w:color w:val="231F20"/>
          <w:spacing w:val="5"/>
          <w:sz w:val="29"/>
        </w:rPr>
        <w:t xml:space="preserve"> </w:t>
      </w:r>
      <w:r>
        <w:rPr>
          <w:color w:val="231F20"/>
          <w:spacing w:val="18"/>
          <w:sz w:val="29"/>
        </w:rPr>
        <w:t>处儿童友好示</w:t>
      </w:r>
      <w:r>
        <w:rPr>
          <w:color w:val="231F20"/>
          <w:spacing w:val="12"/>
          <w:sz w:val="29"/>
        </w:rPr>
        <w:t>范阅读空间、</w:t>
      </w:r>
      <w:r>
        <w:rPr>
          <w:rFonts w:ascii="Times New Roman" w:eastAsia="Times New Roman"/>
          <w:color w:val="231F20"/>
          <w:sz w:val="29"/>
        </w:rPr>
        <w:t>1</w:t>
      </w:r>
      <w:r>
        <w:rPr>
          <w:rFonts w:ascii="Times New Roman" w:eastAsia="Times New Roman"/>
          <w:color w:val="231F20"/>
          <w:spacing w:val="70"/>
          <w:sz w:val="29"/>
        </w:rPr>
        <w:t xml:space="preserve"> </w:t>
      </w:r>
      <w:r>
        <w:rPr>
          <w:color w:val="231F20"/>
          <w:spacing w:val="10"/>
          <w:sz w:val="29"/>
        </w:rPr>
        <w:t>条儿童友好示范上下学路径。</w:t>
      </w:r>
    </w:p>
    <w:p>
      <w:pPr>
        <w:pStyle w:val="6"/>
        <w:numPr>
          <w:ilvl w:val="0"/>
          <w:numId w:val="15"/>
        </w:numPr>
        <w:tabs>
          <w:tab w:val="left" w:pos="1017"/>
        </w:tabs>
        <w:spacing w:before="39" w:after="0" w:line="338" w:lineRule="auto"/>
        <w:ind w:left="113" w:right="255" w:firstLine="620"/>
        <w:jc w:val="both"/>
        <w:rPr>
          <w:sz w:val="29"/>
        </w:rPr>
      </w:pPr>
      <w:r>
        <w:rPr>
          <w:color w:val="231F20"/>
          <w:spacing w:val="16"/>
          <w:sz w:val="29"/>
        </w:rPr>
        <w:t>制定实施新三年行动计划。按“ 政策友好、服务友好、福</w:t>
      </w:r>
      <w:r>
        <w:rPr>
          <w:color w:val="231F20"/>
          <w:spacing w:val="21"/>
          <w:sz w:val="29"/>
        </w:rPr>
        <w:t>利友好、空间友好、环境友好”五大维度，制定创建儿童友好城</w:t>
      </w:r>
      <w:r>
        <w:rPr>
          <w:color w:val="231F20"/>
          <w:spacing w:val="-8"/>
          <w:sz w:val="29"/>
        </w:rPr>
        <w:t xml:space="preserve">市 </w:t>
      </w:r>
      <w:r>
        <w:rPr>
          <w:rFonts w:ascii="Times New Roman" w:hAnsi="Times New Roman" w:eastAsia="Times New Roman"/>
          <w:color w:val="231F20"/>
          <w:sz w:val="29"/>
        </w:rPr>
        <w:t>24</w:t>
      </w:r>
      <w:r>
        <w:rPr>
          <w:rFonts w:ascii="Times New Roman" w:hAnsi="Times New Roman" w:eastAsia="Times New Roman"/>
          <w:color w:val="231F20"/>
          <w:spacing w:val="15"/>
          <w:sz w:val="29"/>
        </w:rPr>
        <w:t xml:space="preserve"> </w:t>
      </w:r>
      <w:r>
        <w:rPr>
          <w:color w:val="231F20"/>
          <w:spacing w:val="20"/>
          <w:sz w:val="29"/>
        </w:rPr>
        <w:t>项行动、</w:t>
      </w:r>
      <w:r>
        <w:rPr>
          <w:rFonts w:ascii="Times New Roman" w:hAnsi="Times New Roman" w:eastAsia="Times New Roman"/>
          <w:color w:val="231F20"/>
          <w:sz w:val="29"/>
        </w:rPr>
        <w:t>55</w:t>
      </w:r>
      <w:r>
        <w:rPr>
          <w:rFonts w:ascii="Times New Roman" w:hAnsi="Times New Roman" w:eastAsia="Times New Roman"/>
          <w:color w:val="231F20"/>
          <w:spacing w:val="15"/>
          <w:sz w:val="29"/>
        </w:rPr>
        <w:t xml:space="preserve"> </w:t>
      </w:r>
      <w:r>
        <w:rPr>
          <w:color w:val="231F20"/>
          <w:spacing w:val="18"/>
          <w:sz w:val="29"/>
        </w:rPr>
        <w:t>项任务，重点从全民参与、全龄共享、全域覆盖</w:t>
      </w:r>
      <w:r>
        <w:rPr>
          <w:color w:val="231F20"/>
          <w:spacing w:val="21"/>
          <w:sz w:val="29"/>
        </w:rPr>
        <w:t>三大方面完善儿童友好城市建设。围绕城市公共服务设施和公共空间适儿化改造以及校外活动场所设施建设，谋划一批具有示范</w:t>
      </w:r>
      <w:r>
        <w:rPr>
          <w:color w:val="231F20"/>
          <w:spacing w:val="11"/>
          <w:sz w:val="29"/>
        </w:rPr>
        <w:t>带动效应的儿童友好建设项目。</w:t>
      </w:r>
    </w:p>
    <w:p>
      <w:pPr>
        <w:pStyle w:val="6"/>
        <w:numPr>
          <w:ilvl w:val="0"/>
          <w:numId w:val="15"/>
        </w:numPr>
        <w:tabs>
          <w:tab w:val="left" w:pos="1023"/>
        </w:tabs>
        <w:spacing w:before="40" w:after="0" w:line="240" w:lineRule="auto"/>
        <w:ind w:left="1022" w:right="0" w:hanging="289"/>
        <w:jc w:val="left"/>
        <w:rPr>
          <w:sz w:val="29"/>
        </w:rPr>
      </w:pPr>
      <w:r>
        <w:rPr>
          <w:color w:val="231F20"/>
          <w:spacing w:val="28"/>
          <w:sz w:val="29"/>
        </w:rPr>
        <w:t>继续完善儿童公众参与机制。通过心愿纸条、儿童绘画、</w:t>
      </w:r>
    </w:p>
    <w:p>
      <w:pPr>
        <w:spacing w:after="0" w:line="240" w:lineRule="auto"/>
        <w:jc w:val="left"/>
        <w:rPr>
          <w:sz w:val="29"/>
        </w:rPr>
        <w:sectPr>
          <w:pgSz w:w="11910" w:h="16840"/>
          <w:pgMar w:top="1580" w:right="1220" w:bottom="1940" w:left="1420" w:header="0" w:footer="1755" w:gutter="0"/>
          <w:cols w:space="720" w:num="1"/>
        </w:sectPr>
      </w:pPr>
    </w:p>
    <w:p>
      <w:pPr>
        <w:pStyle w:val="2"/>
        <w:spacing w:before="9"/>
        <w:rPr>
          <w:sz w:val="7"/>
        </w:rPr>
      </w:pPr>
    </w:p>
    <w:p>
      <w:pPr>
        <w:pStyle w:val="2"/>
        <w:spacing w:before="3" w:line="338" w:lineRule="auto"/>
        <w:ind w:left="117" w:right="101"/>
      </w:pPr>
      <w:r>
        <w:rPr>
          <w:color w:val="231F20"/>
        </w:rPr>
        <w:t>学术研讨会等多种方式继续探索适合儿童公众参与的新方法、新手段， 引导儿童通过匹配其年龄特点的方式来表达诉求与意见， 践行“从一米的高度看城市”价值导向，将儿童需求和意愿充分 融入城市建设和发展。</w:t>
      </w:r>
    </w:p>
    <w:p>
      <w:pPr>
        <w:pStyle w:val="2"/>
        <w:spacing w:before="35"/>
        <w:ind w:left="736"/>
        <w:rPr>
          <w:rFonts w:hint="eastAsia" w:ascii="方正黑体_GBK" w:eastAsia="方正黑体_GBK"/>
        </w:rPr>
      </w:pPr>
      <w:r>
        <w:rPr>
          <w:rFonts w:hint="eastAsia" w:ascii="方正黑体_GBK" w:eastAsia="方正黑体_GBK"/>
          <w:color w:val="231F20"/>
        </w:rPr>
        <w:t>四、保障要素</w:t>
      </w:r>
    </w:p>
    <w:p>
      <w:pPr>
        <w:pStyle w:val="2"/>
        <w:spacing w:before="173" w:line="338" w:lineRule="auto"/>
        <w:ind w:left="117" w:right="251" w:firstLine="515"/>
        <w:jc w:val="both"/>
      </w:pPr>
      <w:r>
        <w:rPr>
          <w:rFonts w:hint="eastAsia" w:ascii="方正楷体_GBK" w:hAnsi="方正楷体_GBK" w:eastAsia="方正楷体_GBK"/>
          <w:color w:val="231F20"/>
        </w:rPr>
        <w:t>（一） 建立工作机制。</w:t>
      </w:r>
      <w:r>
        <w:rPr>
          <w:color w:val="231F20"/>
        </w:rPr>
        <w:t>坚持党委领导、政府主导，市发展改革委牵头负责“一老一小”统筹协调工作，市民政局牵头负责养老服务工作，市卫生健康委牵头负责老龄健康和托育工作；各相关部门各司其职、各负其责，协调落实“一老一小”各项具体工作任务。各区县 （市） 要建立相应的工作协调机制。</w:t>
      </w:r>
    </w:p>
    <w:p>
      <w:pPr>
        <w:pStyle w:val="2"/>
        <w:spacing w:before="39" w:line="338" w:lineRule="auto"/>
        <w:ind w:left="117" w:right="101" w:firstLine="515"/>
      </w:pPr>
      <w:r>
        <w:rPr>
          <w:rFonts w:hint="eastAsia" w:ascii="方正楷体_GBK" w:hAnsi="方正楷体_GBK" w:eastAsia="方正楷体_GBK"/>
          <w:color w:val="231F20"/>
        </w:rPr>
        <w:t>（二） 统筹任务推进。</w:t>
      </w:r>
      <w:r>
        <w:rPr>
          <w:color w:val="231F20"/>
        </w:rPr>
        <w:t>根据我市“一老一小”人口分布和结构变化， 科学谋划“ 十四五” 养老托育服务体系， 将“ 一老一小” 工作纳入国民经济和社会发展规划。各相关部门和区县 （市） 人民政府要根据各自目标任务明确实施主体、时间表和路线图，做好分年滚动工作计划安排，确保方案各项目标任务落地，做到职 责落实到人到岗，主要负责同志为目标任务实施的第一责任人。</w:t>
      </w:r>
    </w:p>
    <w:p>
      <w:pPr>
        <w:pStyle w:val="2"/>
        <w:spacing w:before="39" w:line="338" w:lineRule="auto"/>
        <w:ind w:left="117" w:right="251" w:firstLine="515"/>
        <w:jc w:val="both"/>
      </w:pPr>
      <w:r>
        <w:rPr>
          <w:rFonts w:hint="eastAsia" w:ascii="方正楷体_GBK" w:eastAsia="方正楷体_GBK"/>
          <w:color w:val="231F20"/>
        </w:rPr>
        <w:t>（三） 加大财税支持。</w:t>
      </w:r>
      <w:r>
        <w:rPr>
          <w:color w:val="231F20"/>
        </w:rPr>
        <w:t xml:space="preserve">建立工作协同机制，加强部门信息互通共享，全面落实养老托育服务机构有关税收优惠、行政事业性收费减免和建设补助、运营补贴等优惠政策。严格落实养老托育机构用水、用电、用气按照居民生活类价格标准收费。境内外资本举办养老托育机构享有同等优惠政策。市、区县 （市） 两级留成的福利彩票公益金应当按照不低于 </w:t>
      </w:r>
      <w:r>
        <w:rPr>
          <w:rFonts w:ascii="Times New Roman" w:eastAsia="Times New Roman"/>
          <w:color w:val="231F20"/>
        </w:rPr>
        <w:t xml:space="preserve">55% </w:t>
      </w:r>
      <w:r>
        <w:rPr>
          <w:color w:val="231F20"/>
        </w:rPr>
        <w:t>的比例用于支持发展养老</w:t>
      </w:r>
    </w:p>
    <w:p>
      <w:pPr>
        <w:spacing w:after="0" w:line="338" w:lineRule="auto"/>
        <w:jc w:val="both"/>
        <w:sectPr>
          <w:pgSz w:w="11910" w:h="16840"/>
          <w:pgMar w:top="1580" w:right="1280" w:bottom="1940" w:left="1360" w:header="0" w:footer="1755" w:gutter="0"/>
          <w:cols w:space="720" w:num="1"/>
        </w:sectPr>
      </w:pPr>
    </w:p>
    <w:p>
      <w:pPr>
        <w:pStyle w:val="2"/>
        <w:spacing w:before="9"/>
        <w:rPr>
          <w:sz w:val="7"/>
        </w:rPr>
      </w:pPr>
    </w:p>
    <w:p>
      <w:pPr>
        <w:pStyle w:val="2"/>
        <w:spacing w:before="3" w:line="338" w:lineRule="auto"/>
        <w:ind w:left="113" w:right="255"/>
        <w:jc w:val="both"/>
      </w:pPr>
      <w:r>
        <w:rPr>
          <w:color w:val="231F20"/>
        </w:rPr>
        <w:t>服务。建立健全政府购买养老服务制度，将困难老年人居家养老服务、失能老年人家庭成员照护培训、养老护理员培训和养老服务评估等纳入政府购买服务范围。对吸纳符合条件劳动者的养老托育机构按规定给予社保补贴。</w:t>
      </w:r>
    </w:p>
    <w:p>
      <w:pPr>
        <w:pStyle w:val="2"/>
        <w:spacing w:line="338" w:lineRule="auto"/>
        <w:ind w:left="113" w:right="101" w:firstLine="515"/>
      </w:pPr>
      <w:r>
        <w:rPr>
          <w:rFonts w:hint="eastAsia" w:ascii="方正楷体_GBK" w:hAnsi="方正楷体_GBK" w:eastAsia="方正楷体_GBK"/>
          <w:color w:val="231F20"/>
        </w:rPr>
        <w:t>（四） 强化人才支撑。</w:t>
      </w:r>
      <w:r>
        <w:rPr>
          <w:color w:val="231F20"/>
        </w:rPr>
        <w:t>将养老托育人才培养纳入全市职业教育体系规划， 鼓励高等院校和职业院校开设老年医学、老年护理、婴幼儿保育等相关专业。深化校企合作，培育一批产教融合型养老托育服务企业，支持实训基地建设，推行养老托育“职业培训包”和“工学一体化”培训模式。将养老托育从业人员、老年社 会工作者纳入政府职业技能培训计划，按规定落实职业培训补贴。依法保障从业人员合法权益，建立激励机制，保障养老托育从业人员福利待遇，从职称晋升、薪酬待遇等方面予以支持，确保养 老托育人才的队伍稳定。</w:t>
      </w:r>
    </w:p>
    <w:p>
      <w:pPr>
        <w:pStyle w:val="2"/>
        <w:spacing w:line="338" w:lineRule="auto"/>
        <w:ind w:left="113" w:right="101" w:firstLine="515"/>
      </w:pPr>
      <w:r>
        <w:rPr>
          <w:rFonts w:hint="eastAsia" w:ascii="方正楷体_GBK" w:eastAsia="方正楷体_GBK"/>
          <w:color w:val="231F20"/>
        </w:rPr>
        <w:t>（五） 推动创新发展。</w:t>
      </w:r>
      <w:r>
        <w:rPr>
          <w:color w:val="231F20"/>
        </w:rPr>
        <w:t>以长株潭城市群被列为国家积极应对人口老龄化重点联系城市为契机，围绕服务体系创新、业态模式创新、要素支持创新、适老适儿环境创新、体制机制创新等领域， 在落实国家和省、市相关政策措施的基础上积极开展探索，在健全养老托育机构运营管理制度、扩大普惠养老托育服务覆盖面、推动培训疗养资源转型发展养老托育、引导各类金融资源支持养老托育发展、完善养老托育工作体制机制、建设全龄友好城市等 方面重点推进。</w:t>
      </w:r>
    </w:p>
    <w:p>
      <w:pPr>
        <w:pStyle w:val="2"/>
        <w:ind w:left="628"/>
      </w:pPr>
      <w:r>
        <w:rPr>
          <w:rFonts w:hint="eastAsia" w:ascii="方正楷体_GBK" w:eastAsia="方正楷体_GBK"/>
          <w:color w:val="231F20"/>
        </w:rPr>
        <w:t>（六）  加强规范监管。</w:t>
      </w:r>
      <w:r>
        <w:rPr>
          <w:color w:val="231F20"/>
        </w:rPr>
        <w:t>各相关部门和各级人民政府要按照《湖</w:t>
      </w:r>
    </w:p>
    <w:p>
      <w:pPr>
        <w:spacing w:after="0"/>
        <w:sectPr>
          <w:pgSz w:w="11910" w:h="16840"/>
          <w:pgMar w:top="1580" w:right="1220" w:bottom="1940" w:left="1420" w:header="0" w:footer="1755" w:gutter="0"/>
          <w:cols w:space="720" w:num="1"/>
        </w:sectPr>
      </w:pPr>
    </w:p>
    <w:p>
      <w:pPr>
        <w:pStyle w:val="2"/>
        <w:spacing w:before="9"/>
        <w:rPr>
          <w:sz w:val="7"/>
        </w:rPr>
      </w:pPr>
    </w:p>
    <w:p>
      <w:pPr>
        <w:pStyle w:val="2"/>
        <w:spacing w:before="3" w:line="338" w:lineRule="auto"/>
        <w:ind w:left="117" w:right="101"/>
      </w:pPr>
      <w:r>
        <w:rPr>
          <w:color w:val="231F20"/>
        </w:rPr>
        <w:t>南省人民政府办公厅关于加强养老服务机构综合监管的通知》（湘政办发 〔</w:t>
      </w:r>
      <w:r>
        <w:rPr>
          <w:rFonts w:ascii="Times New Roman" w:eastAsia="Times New Roman"/>
          <w:color w:val="231F20"/>
        </w:rPr>
        <w:t>2021</w:t>
      </w:r>
      <w:r>
        <w:rPr>
          <w:color w:val="231F20"/>
        </w:rPr>
        <w:t xml:space="preserve">〕 </w:t>
      </w:r>
      <w:r>
        <w:rPr>
          <w:rFonts w:ascii="Times New Roman" w:eastAsia="Times New Roman"/>
          <w:color w:val="231F20"/>
        </w:rPr>
        <w:t xml:space="preserve">80 </w:t>
      </w:r>
      <w:r>
        <w:rPr>
          <w:color w:val="231F20"/>
        </w:rPr>
        <w:t>号） 和《湖南省卫生健康委关于印发〈湖南省托育机构设置标准细则 （试行） 〉 和〈湖南省托育机构管理规范细则 （试行） 〉 的通知》（湘卫人口家庭发 〔</w:t>
      </w:r>
      <w:r>
        <w:rPr>
          <w:rFonts w:ascii="Times New Roman" w:eastAsia="Times New Roman"/>
          <w:color w:val="231F20"/>
        </w:rPr>
        <w:t>2022</w:t>
      </w:r>
      <w:r>
        <w:rPr>
          <w:color w:val="231F20"/>
        </w:rPr>
        <w:t xml:space="preserve">〕 </w:t>
      </w:r>
      <w:r>
        <w:rPr>
          <w:rFonts w:ascii="Times New Roman" w:eastAsia="Times New Roman"/>
          <w:color w:val="231F20"/>
        </w:rPr>
        <w:t xml:space="preserve">3 </w:t>
      </w:r>
      <w:r>
        <w:rPr>
          <w:color w:val="231F20"/>
        </w:rPr>
        <w:t>号） 要求， 突出监管重点，创新监管手段，提高监管效能。建立部门协同监管机制， 坚持公正监管、规范执法， 防止养老托育地产化倾向， 防范发生隐性债务，引导和激励养老托育服务机构诚信守法经营、积极转型升级、持续优化服务，更好适应养老托育服务高质量发 展要求。</w:t>
      </w:r>
    </w:p>
    <w:p>
      <w:pPr>
        <w:pStyle w:val="2"/>
        <w:spacing w:line="338" w:lineRule="auto"/>
        <w:ind w:left="117" w:right="213" w:firstLine="515"/>
        <w:jc w:val="both"/>
      </w:pPr>
      <w:r>
        <w:rPr>
          <w:rFonts w:hint="eastAsia" w:ascii="方正楷体_GBK" w:hAnsi="方正楷体_GBK" w:eastAsia="方正楷体_GBK"/>
          <w:color w:val="231F20"/>
        </w:rPr>
        <w:t>（七） 营造友好环境。</w:t>
      </w:r>
      <w:r>
        <w:rPr>
          <w:color w:val="231F20"/>
        </w:rPr>
        <w:t>积极开展多种形式的宣传教育活动，传承弘扬中华民族尊老爱幼传统美德，发挥好家庭在居家养老育幼中的重要作用，形成家庭、社会、政府共同参与的良好氛围。加强老年人、婴幼儿权益保障，完善各项社会优待，加强“一老一小”宜居环境建设，积极创建“一老一小”活力发展城市和社区。</w:t>
      </w:r>
    </w:p>
    <w:p>
      <w:pPr>
        <w:pStyle w:val="2"/>
        <w:ind w:left="736"/>
      </w:pPr>
      <w:r>
        <w:rPr>
          <w:color w:val="231F20"/>
          <w:spacing w:val="15"/>
        </w:rPr>
        <w:t>本文件自公布之日起施行，有效期至</w:t>
      </w:r>
      <w:r>
        <w:rPr>
          <w:rFonts w:ascii="Times New Roman" w:eastAsia="Times New Roman"/>
          <w:color w:val="231F20"/>
        </w:rPr>
        <w:t xml:space="preserve">2025 </w:t>
      </w:r>
      <w:r>
        <w:rPr>
          <w:color w:val="231F20"/>
          <w:spacing w:val="50"/>
        </w:rPr>
        <w:t>年</w:t>
      </w:r>
      <w:r>
        <w:rPr>
          <w:rFonts w:ascii="Times New Roman" w:eastAsia="Times New Roman"/>
          <w:color w:val="231F20"/>
        </w:rPr>
        <w:t xml:space="preserve">12 </w:t>
      </w:r>
      <w:r>
        <w:rPr>
          <w:color w:val="231F20"/>
          <w:spacing w:val="50"/>
        </w:rPr>
        <w:t>月</w:t>
      </w:r>
      <w:r>
        <w:rPr>
          <w:rFonts w:ascii="Times New Roman" w:eastAsia="Times New Roman"/>
          <w:color w:val="231F20"/>
        </w:rPr>
        <w:t xml:space="preserve">31 </w:t>
      </w:r>
      <w:r>
        <w:rPr>
          <w:color w:val="231F20"/>
          <w:spacing w:val="6"/>
        </w:rPr>
        <w:t>日。</w:t>
      </w:r>
    </w:p>
    <w:p>
      <w:pPr>
        <w:pStyle w:val="2"/>
        <w:spacing w:before="0"/>
        <w:rPr>
          <w:sz w:val="20"/>
        </w:rPr>
      </w:pPr>
    </w:p>
    <w:p>
      <w:pPr>
        <w:pStyle w:val="2"/>
        <w:spacing w:before="0"/>
        <w:rPr>
          <w:sz w:val="20"/>
        </w:rPr>
      </w:pPr>
    </w:p>
    <w:p>
      <w:pPr>
        <w:pStyle w:val="2"/>
        <w:spacing w:before="0"/>
        <w:rPr>
          <w:sz w:val="20"/>
        </w:rPr>
      </w:pPr>
    </w:p>
    <w:p>
      <w:pPr>
        <w:pStyle w:val="2"/>
        <w:spacing w:before="0"/>
        <w:rPr>
          <w:sz w:val="20"/>
        </w:rPr>
      </w:pPr>
    </w:p>
    <w:p>
      <w:pPr>
        <w:pStyle w:val="2"/>
        <w:spacing w:before="0"/>
        <w:rPr>
          <w:sz w:val="20"/>
        </w:rPr>
      </w:pPr>
      <w:bookmarkStart w:id="0" w:name="_GoBack"/>
      <w:bookmarkEnd w:id="0"/>
    </w:p>
    <w:p>
      <w:pPr>
        <w:pStyle w:val="2"/>
        <w:spacing w:before="0"/>
        <w:rPr>
          <w:sz w:val="20"/>
        </w:rPr>
      </w:pPr>
    </w:p>
    <w:p>
      <w:pPr>
        <w:pStyle w:val="2"/>
        <w:spacing w:before="0"/>
        <w:rPr>
          <w:sz w:val="20"/>
        </w:rPr>
      </w:pPr>
    </w:p>
    <w:p>
      <w:pPr>
        <w:pStyle w:val="2"/>
        <w:spacing w:before="0"/>
        <w:rPr>
          <w:sz w:val="20"/>
        </w:rPr>
      </w:pPr>
    </w:p>
    <w:p>
      <w:pPr>
        <w:pStyle w:val="2"/>
        <w:spacing w:before="9"/>
        <w:rPr>
          <w:sz w:val="13"/>
        </w:rPr>
      </w:pPr>
      <w:r>
        <w:pict>
          <v:line id="_x0000_s1027" o:spid="_x0000_s1027" o:spt="20" style="position:absolute;left:0pt;margin-left:74.4pt;margin-top:12.35pt;height:0pt;width:443.55pt;mso-position-horizontal-relative:page;mso-wrap-distance-bottom:0pt;mso-wrap-distance-top:0pt;z-index:251660288;mso-width-relative:page;mso-height-relative:page;" stroked="t" coordsize="21600,21600">
            <v:path arrowok="t"/>
            <v:fill focussize="0,0"/>
            <v:stroke weight="0.680314960629921pt" color="#231F20"/>
            <v:imagedata o:title=""/>
            <o:lock v:ext="edit"/>
            <w10:wrap type="topAndBottom"/>
          </v:line>
        </w:pict>
      </w:r>
    </w:p>
    <w:p>
      <w:pPr>
        <w:spacing w:before="0" w:line="350" w:lineRule="exact"/>
        <w:ind w:left="263" w:right="0" w:firstLine="0"/>
        <w:jc w:val="left"/>
        <w:rPr>
          <w:rFonts w:hint="eastAsia" w:ascii="方正仿宋简体" w:eastAsia="方正仿宋简体"/>
          <w:sz w:val="27"/>
        </w:rPr>
      </w:pPr>
      <w:r>
        <w:rPr>
          <w:rFonts w:hint="eastAsia" w:ascii="方正仿宋简体" w:eastAsia="方正仿宋简体"/>
          <w:color w:val="231F20"/>
          <w:sz w:val="27"/>
        </w:rPr>
        <w:t>抄送：市委有关部门，长沙警备区。</w:t>
      </w:r>
    </w:p>
    <w:p>
      <w:pPr>
        <w:spacing w:before="5" w:line="232" w:lineRule="auto"/>
        <w:ind w:left="1120" w:right="1130" w:firstLine="0"/>
        <w:jc w:val="left"/>
        <w:rPr>
          <w:rFonts w:hint="eastAsia" w:ascii="方正仿宋简体" w:eastAsia="方正仿宋简体"/>
          <w:sz w:val="27"/>
        </w:rPr>
      </w:pPr>
      <w:r>
        <w:rPr>
          <w:rFonts w:hint="eastAsia" w:ascii="方正仿宋简体" w:eastAsia="方正仿宋简体"/>
          <w:color w:val="231F20"/>
          <w:sz w:val="27"/>
        </w:rPr>
        <w:t>市人大常委会办公厅，市政协办公厅，市中级人民法院， 市人民检察院。</w:t>
      </w:r>
    </w:p>
    <w:p>
      <w:pPr>
        <w:spacing w:before="0" w:line="385" w:lineRule="exact"/>
        <w:ind w:left="1120" w:right="0" w:firstLine="0"/>
        <w:jc w:val="left"/>
        <w:rPr>
          <w:rFonts w:hint="eastAsia" w:ascii="方正仿宋简体" w:eastAsia="方正仿宋简体"/>
          <w:sz w:val="27"/>
        </w:rPr>
      </w:pPr>
      <w:r>
        <w:pict>
          <v:line id="_x0000_s1028" o:spid="_x0000_s1028" o:spt="20" style="position:absolute;left:0pt;margin-left:74.4pt;margin-top:22.5pt;height:0pt;width:443.55pt;mso-position-horizontal-relative:page;mso-wrap-distance-bottom:0pt;mso-wrap-distance-top:0pt;z-index:251660288;mso-width-relative:page;mso-height-relative:page;" stroked="t" coordsize="21600,21600">
            <v:path arrowok="t"/>
            <v:fill focussize="0,0"/>
            <v:stroke weight="0.283464566929134pt" color="#231F20"/>
            <v:imagedata o:title=""/>
            <o:lock v:ext="edit"/>
            <w10:wrap type="topAndBottom"/>
          </v:line>
        </w:pict>
      </w:r>
      <w:r>
        <w:rPr>
          <w:rFonts w:hint="eastAsia" w:ascii="方正仿宋简体" w:eastAsia="方正仿宋简体"/>
          <w:color w:val="231F20"/>
          <w:sz w:val="27"/>
        </w:rPr>
        <w:t>各民主党派市委。</w:t>
      </w:r>
    </w:p>
    <w:p>
      <w:pPr>
        <w:tabs>
          <w:tab w:val="left" w:pos="6181"/>
        </w:tabs>
        <w:spacing w:before="14" w:after="109"/>
        <w:ind w:left="258" w:right="0" w:firstLine="0"/>
        <w:jc w:val="left"/>
        <w:rPr>
          <w:rFonts w:hint="eastAsia" w:ascii="方正仿宋简体" w:eastAsia="方正仿宋简体"/>
          <w:sz w:val="27"/>
        </w:rPr>
      </w:pPr>
      <w:r>
        <w:rPr>
          <w:rFonts w:hint="eastAsia" w:ascii="方正仿宋简体" w:eastAsia="方正仿宋简体"/>
          <w:color w:val="231F20"/>
          <w:spacing w:val="5"/>
          <w:sz w:val="27"/>
        </w:rPr>
        <w:t>长沙市人民政府办公</w:t>
      </w:r>
      <w:r>
        <w:rPr>
          <w:rFonts w:hint="eastAsia" w:ascii="方正仿宋简体" w:eastAsia="方正仿宋简体"/>
          <w:color w:val="231F20"/>
          <w:sz w:val="27"/>
        </w:rPr>
        <w:t>厅</w:t>
      </w:r>
      <w:r>
        <w:rPr>
          <w:rFonts w:hint="eastAsia" w:ascii="方正仿宋简体" w:eastAsia="方正仿宋简体"/>
          <w:color w:val="231F20"/>
          <w:sz w:val="27"/>
        </w:rPr>
        <w:tab/>
      </w:r>
      <w:r>
        <w:rPr>
          <w:rFonts w:ascii="Times New Roman" w:eastAsia="Times New Roman"/>
          <w:color w:val="231F20"/>
          <w:sz w:val="27"/>
        </w:rPr>
        <w:t>2022</w:t>
      </w:r>
      <w:r>
        <w:rPr>
          <w:rFonts w:ascii="Times New Roman" w:eastAsia="Times New Roman"/>
          <w:color w:val="231F20"/>
          <w:spacing w:val="-14"/>
          <w:sz w:val="27"/>
        </w:rPr>
        <w:t xml:space="preserve"> </w:t>
      </w:r>
      <w:r>
        <w:rPr>
          <w:rFonts w:hint="eastAsia" w:ascii="方正仿宋简体" w:eastAsia="方正仿宋简体"/>
          <w:color w:val="231F20"/>
          <w:spacing w:val="40"/>
          <w:sz w:val="27"/>
        </w:rPr>
        <w:t>年</w:t>
      </w:r>
      <w:r>
        <w:rPr>
          <w:rFonts w:ascii="Times New Roman" w:eastAsia="Times New Roman"/>
          <w:color w:val="231F20"/>
          <w:sz w:val="27"/>
        </w:rPr>
        <w:t>12</w:t>
      </w:r>
      <w:r>
        <w:rPr>
          <w:rFonts w:ascii="Times New Roman" w:eastAsia="Times New Roman"/>
          <w:color w:val="231F20"/>
          <w:spacing w:val="-14"/>
          <w:sz w:val="27"/>
        </w:rPr>
        <w:t xml:space="preserve"> </w:t>
      </w:r>
      <w:r>
        <w:rPr>
          <w:rFonts w:hint="eastAsia" w:ascii="方正仿宋简体" w:eastAsia="方正仿宋简体"/>
          <w:color w:val="231F20"/>
          <w:spacing w:val="40"/>
          <w:sz w:val="27"/>
        </w:rPr>
        <w:t>月</w:t>
      </w:r>
      <w:r>
        <w:rPr>
          <w:rFonts w:ascii="Times New Roman" w:eastAsia="Times New Roman"/>
          <w:color w:val="231F20"/>
          <w:sz w:val="27"/>
        </w:rPr>
        <w:t>22</w:t>
      </w:r>
      <w:r>
        <w:rPr>
          <w:rFonts w:ascii="Times New Roman" w:eastAsia="Times New Roman"/>
          <w:color w:val="231F20"/>
          <w:spacing w:val="-14"/>
          <w:sz w:val="27"/>
        </w:rPr>
        <w:t xml:space="preserve"> </w:t>
      </w:r>
      <w:r>
        <w:rPr>
          <w:rFonts w:hint="eastAsia" w:ascii="方正仿宋简体" w:eastAsia="方正仿宋简体"/>
          <w:color w:val="231F20"/>
          <w:spacing w:val="5"/>
          <w:sz w:val="27"/>
        </w:rPr>
        <w:t>日印</w:t>
      </w:r>
      <w:r>
        <w:rPr>
          <w:rFonts w:hint="eastAsia" w:ascii="方正仿宋简体" w:eastAsia="方正仿宋简体"/>
          <w:color w:val="231F20"/>
          <w:sz w:val="27"/>
        </w:rPr>
        <w:t>发</w:t>
      </w:r>
    </w:p>
    <w:p>
      <w:pPr>
        <w:pStyle w:val="2"/>
        <w:spacing w:before="0" w:line="20" w:lineRule="exact"/>
        <w:ind w:left="121"/>
        <w:rPr>
          <w:rFonts w:ascii="方正仿宋简体"/>
          <w:sz w:val="2"/>
        </w:rPr>
      </w:pPr>
      <w:r>
        <w:rPr>
          <w:rFonts w:ascii="方正仿宋简体"/>
          <w:sz w:val="2"/>
        </w:rPr>
        <w:pict>
          <v:group id="_x0000_s1029" o:spid="_x0000_s1029" o:spt="203" style="height:0.7pt;width:444.3pt;" coordsize="8886,14">
            <o:lock v:ext="edit"/>
            <v:line id="_x0000_s1030" o:spid="_x0000_s1030" o:spt="20" style="position:absolute;left:7;top:7;height:0;width:8872;" stroked="t" coordsize="21600,21600">
              <v:path arrowok="t"/>
              <v:fill focussize="0,0"/>
              <v:stroke weight="0.651968503937008pt" color="#231F20"/>
              <v:imagedata o:title=""/>
              <o:lock v:ext="edit"/>
            </v:line>
            <w10:wrap type="none"/>
            <w10:anchorlock/>
          </v:group>
        </w:pict>
      </w:r>
    </w:p>
    <w:sectPr>
      <w:pgSz w:w="11910" w:h="16840"/>
      <w:pgMar w:top="1580" w:right="1280" w:bottom="1940" w:left="1360" w:header="0" w:footer="17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NEU-BZ">
    <w:panose1 w:val="02010600010101010101"/>
    <w:charset w:val="86"/>
    <w:family w:val="auto"/>
    <w:pitch w:val="default"/>
    <w:sig w:usb0="C00000BF" w:usb1="0000A49B" w:usb2="00000014"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49" o:spid="_x0000_s2049" o:spt="202" type="#_x0000_t202" style="position:absolute;left:0pt;margin-left:460.2pt;margin-top:743.1pt;height:34.55pt;width:48.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3</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0" o:spid="_x0000_s2050" o:spt="202" type="#_x0000_t202" style="position:absolute;left:0pt;margin-left:87pt;margin-top:743.1pt;height:34.55pt;width:48.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2</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2" o:spid="_x0000_s2052" o:spt="202" type="#_x0000_t202" style="position:absolute;left:0pt;margin-left:453.2pt;margin-top:743.1pt;height:34.55pt;width:55.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11</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1" o:spid="_x0000_s2051" o:spt="202" type="#_x0000_t202" style="position:absolute;left:0pt;margin-left:87pt;margin-top:743.1pt;height:34.55pt;width:55.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10</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4" o:spid="_x0000_s2054" o:spt="202" type="#_x0000_t202" style="position:absolute;left:0pt;margin-left:453.2pt;margin-top:743.1pt;height:34.55pt;width:55.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21</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2053" o:spid="_x0000_s2053" o:spt="202" type="#_x0000_t202" style="position:absolute;left:0pt;margin-left:87pt;margin-top:743.1pt;height:34.55pt;width:55.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666" w:lineRule="exact"/>
                  <w:ind w:left="20" w:right="0" w:firstLine="0"/>
                  <w:jc w:val="left"/>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t>20</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7"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1">
    <w:nsid w:val="B5E306ED"/>
    <w:multiLevelType w:val="multilevel"/>
    <w:tmpl w:val="B5E306ED"/>
    <w:lvl w:ilvl="0" w:tentative="0">
      <w:start w:val="1"/>
      <w:numFmt w:val="decimal"/>
      <w:lvlText w:val="%1."/>
      <w:lvlJc w:val="left"/>
      <w:pPr>
        <w:ind w:left="117"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2">
    <w:nsid w:val="BF205925"/>
    <w:multiLevelType w:val="multilevel"/>
    <w:tmpl w:val="BF205925"/>
    <w:lvl w:ilvl="0" w:tentative="0">
      <w:start w:val="1"/>
      <w:numFmt w:val="decimal"/>
      <w:lvlText w:val="%1."/>
      <w:lvlJc w:val="left"/>
      <w:pPr>
        <w:ind w:left="213"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20" w:hanging="284"/>
      </w:pPr>
      <w:rPr>
        <w:rFonts w:hint="default"/>
      </w:rPr>
    </w:lvl>
    <w:lvl w:ilvl="2" w:tentative="0">
      <w:start w:val="0"/>
      <w:numFmt w:val="bullet"/>
      <w:lvlText w:val="•"/>
      <w:lvlJc w:val="left"/>
      <w:pPr>
        <w:ind w:left="2021" w:hanging="284"/>
      </w:pPr>
      <w:rPr>
        <w:rFonts w:hint="default"/>
      </w:rPr>
    </w:lvl>
    <w:lvl w:ilvl="3" w:tentative="0">
      <w:start w:val="0"/>
      <w:numFmt w:val="bullet"/>
      <w:lvlText w:val="•"/>
      <w:lvlJc w:val="left"/>
      <w:pPr>
        <w:ind w:left="2921" w:hanging="284"/>
      </w:pPr>
      <w:rPr>
        <w:rFonts w:hint="default"/>
      </w:rPr>
    </w:lvl>
    <w:lvl w:ilvl="4" w:tentative="0">
      <w:start w:val="0"/>
      <w:numFmt w:val="bullet"/>
      <w:lvlText w:val="•"/>
      <w:lvlJc w:val="left"/>
      <w:pPr>
        <w:ind w:left="3822" w:hanging="284"/>
      </w:pPr>
      <w:rPr>
        <w:rFonts w:hint="default"/>
      </w:rPr>
    </w:lvl>
    <w:lvl w:ilvl="5" w:tentative="0">
      <w:start w:val="0"/>
      <w:numFmt w:val="bullet"/>
      <w:lvlText w:val="•"/>
      <w:lvlJc w:val="left"/>
      <w:pPr>
        <w:ind w:left="4722" w:hanging="284"/>
      </w:pPr>
      <w:rPr>
        <w:rFonts w:hint="default"/>
      </w:rPr>
    </w:lvl>
    <w:lvl w:ilvl="6" w:tentative="0">
      <w:start w:val="0"/>
      <w:numFmt w:val="bullet"/>
      <w:lvlText w:val="•"/>
      <w:lvlJc w:val="left"/>
      <w:pPr>
        <w:ind w:left="5623" w:hanging="284"/>
      </w:pPr>
      <w:rPr>
        <w:rFonts w:hint="default"/>
      </w:rPr>
    </w:lvl>
    <w:lvl w:ilvl="7" w:tentative="0">
      <w:start w:val="0"/>
      <w:numFmt w:val="bullet"/>
      <w:lvlText w:val="•"/>
      <w:lvlJc w:val="left"/>
      <w:pPr>
        <w:ind w:left="6523" w:hanging="284"/>
      </w:pPr>
      <w:rPr>
        <w:rFonts w:hint="default"/>
      </w:rPr>
    </w:lvl>
    <w:lvl w:ilvl="8" w:tentative="0">
      <w:start w:val="0"/>
      <w:numFmt w:val="bullet"/>
      <w:lvlText w:val="•"/>
      <w:lvlJc w:val="left"/>
      <w:pPr>
        <w:ind w:left="7424" w:hanging="284"/>
      </w:pPr>
      <w:rPr>
        <w:rFonts w:hint="default"/>
      </w:rPr>
    </w:lvl>
  </w:abstractNum>
  <w:abstractNum w:abstractNumId="3">
    <w:nsid w:val="C8879AEF"/>
    <w:multiLevelType w:val="multilevel"/>
    <w:tmpl w:val="C8879AEF"/>
    <w:lvl w:ilvl="0" w:tentative="0">
      <w:start w:val="1"/>
      <w:numFmt w:val="decimal"/>
      <w:lvlText w:val="%1."/>
      <w:lvlJc w:val="left"/>
      <w:pPr>
        <w:ind w:left="213"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34" w:hanging="284"/>
      </w:pPr>
      <w:rPr>
        <w:rFonts w:hint="default"/>
      </w:rPr>
    </w:lvl>
    <w:lvl w:ilvl="2" w:tentative="0">
      <w:start w:val="0"/>
      <w:numFmt w:val="bullet"/>
      <w:lvlText w:val="•"/>
      <w:lvlJc w:val="left"/>
      <w:pPr>
        <w:ind w:left="2049" w:hanging="284"/>
      </w:pPr>
      <w:rPr>
        <w:rFonts w:hint="default"/>
      </w:rPr>
    </w:lvl>
    <w:lvl w:ilvl="3" w:tentative="0">
      <w:start w:val="0"/>
      <w:numFmt w:val="bullet"/>
      <w:lvlText w:val="•"/>
      <w:lvlJc w:val="left"/>
      <w:pPr>
        <w:ind w:left="2963" w:hanging="284"/>
      </w:pPr>
      <w:rPr>
        <w:rFonts w:hint="default"/>
      </w:rPr>
    </w:lvl>
    <w:lvl w:ilvl="4" w:tentative="0">
      <w:start w:val="0"/>
      <w:numFmt w:val="bullet"/>
      <w:lvlText w:val="•"/>
      <w:lvlJc w:val="left"/>
      <w:pPr>
        <w:ind w:left="3878" w:hanging="284"/>
      </w:pPr>
      <w:rPr>
        <w:rFonts w:hint="default"/>
      </w:rPr>
    </w:lvl>
    <w:lvl w:ilvl="5" w:tentative="0">
      <w:start w:val="0"/>
      <w:numFmt w:val="bullet"/>
      <w:lvlText w:val="•"/>
      <w:lvlJc w:val="left"/>
      <w:pPr>
        <w:ind w:left="4792" w:hanging="284"/>
      </w:pPr>
      <w:rPr>
        <w:rFonts w:hint="default"/>
      </w:rPr>
    </w:lvl>
    <w:lvl w:ilvl="6" w:tentative="0">
      <w:start w:val="0"/>
      <w:numFmt w:val="bullet"/>
      <w:lvlText w:val="•"/>
      <w:lvlJc w:val="left"/>
      <w:pPr>
        <w:ind w:left="5707" w:hanging="284"/>
      </w:pPr>
      <w:rPr>
        <w:rFonts w:hint="default"/>
      </w:rPr>
    </w:lvl>
    <w:lvl w:ilvl="7" w:tentative="0">
      <w:start w:val="0"/>
      <w:numFmt w:val="bullet"/>
      <w:lvlText w:val="•"/>
      <w:lvlJc w:val="left"/>
      <w:pPr>
        <w:ind w:left="6621" w:hanging="284"/>
      </w:pPr>
      <w:rPr>
        <w:rFonts w:hint="default"/>
      </w:rPr>
    </w:lvl>
    <w:lvl w:ilvl="8" w:tentative="0">
      <w:start w:val="0"/>
      <w:numFmt w:val="bullet"/>
      <w:lvlText w:val="•"/>
      <w:lvlJc w:val="left"/>
      <w:pPr>
        <w:ind w:left="7536" w:hanging="284"/>
      </w:pPr>
      <w:rPr>
        <w:rFonts w:hint="default"/>
      </w:rPr>
    </w:lvl>
  </w:abstractNum>
  <w:abstractNum w:abstractNumId="4">
    <w:nsid w:val="CF092B84"/>
    <w:multiLevelType w:val="multilevel"/>
    <w:tmpl w:val="CF092B84"/>
    <w:lvl w:ilvl="0" w:tentative="0">
      <w:start w:val="1"/>
      <w:numFmt w:val="decimal"/>
      <w:lvlText w:val="%1."/>
      <w:lvlJc w:val="left"/>
      <w:pPr>
        <w:ind w:left="117" w:hanging="284"/>
        <w:jc w:val="lef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5">
    <w:nsid w:val="F4B5D9F5"/>
    <w:multiLevelType w:val="multilevel"/>
    <w:tmpl w:val="F4B5D9F5"/>
    <w:lvl w:ilvl="0" w:tentative="0">
      <w:start w:val="1"/>
      <w:numFmt w:val="decimal"/>
      <w:lvlText w:val="%1."/>
      <w:lvlJc w:val="left"/>
      <w:pPr>
        <w:ind w:left="113" w:hanging="284"/>
        <w:jc w:val="lef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6">
    <w:nsid w:val="0053208E"/>
    <w:multiLevelType w:val="multilevel"/>
    <w:tmpl w:val="0053208E"/>
    <w:lvl w:ilvl="0" w:tentative="0">
      <w:start w:val="1"/>
      <w:numFmt w:val="decimal"/>
      <w:lvlText w:val="%1."/>
      <w:lvlJc w:val="left"/>
      <w:pPr>
        <w:ind w:left="213" w:hanging="283"/>
        <w:jc w:val="lef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34" w:hanging="283"/>
      </w:pPr>
      <w:rPr>
        <w:rFonts w:hint="default"/>
      </w:rPr>
    </w:lvl>
    <w:lvl w:ilvl="2" w:tentative="0">
      <w:start w:val="0"/>
      <w:numFmt w:val="bullet"/>
      <w:lvlText w:val="•"/>
      <w:lvlJc w:val="left"/>
      <w:pPr>
        <w:ind w:left="2049" w:hanging="283"/>
      </w:pPr>
      <w:rPr>
        <w:rFonts w:hint="default"/>
      </w:rPr>
    </w:lvl>
    <w:lvl w:ilvl="3" w:tentative="0">
      <w:start w:val="0"/>
      <w:numFmt w:val="bullet"/>
      <w:lvlText w:val="•"/>
      <w:lvlJc w:val="left"/>
      <w:pPr>
        <w:ind w:left="2963" w:hanging="283"/>
      </w:pPr>
      <w:rPr>
        <w:rFonts w:hint="default"/>
      </w:rPr>
    </w:lvl>
    <w:lvl w:ilvl="4" w:tentative="0">
      <w:start w:val="0"/>
      <w:numFmt w:val="bullet"/>
      <w:lvlText w:val="•"/>
      <w:lvlJc w:val="left"/>
      <w:pPr>
        <w:ind w:left="3878" w:hanging="283"/>
      </w:pPr>
      <w:rPr>
        <w:rFonts w:hint="default"/>
      </w:rPr>
    </w:lvl>
    <w:lvl w:ilvl="5" w:tentative="0">
      <w:start w:val="0"/>
      <w:numFmt w:val="bullet"/>
      <w:lvlText w:val="•"/>
      <w:lvlJc w:val="left"/>
      <w:pPr>
        <w:ind w:left="4792" w:hanging="283"/>
      </w:pPr>
      <w:rPr>
        <w:rFonts w:hint="default"/>
      </w:rPr>
    </w:lvl>
    <w:lvl w:ilvl="6" w:tentative="0">
      <w:start w:val="0"/>
      <w:numFmt w:val="bullet"/>
      <w:lvlText w:val="•"/>
      <w:lvlJc w:val="left"/>
      <w:pPr>
        <w:ind w:left="5707" w:hanging="283"/>
      </w:pPr>
      <w:rPr>
        <w:rFonts w:hint="default"/>
      </w:rPr>
    </w:lvl>
    <w:lvl w:ilvl="7" w:tentative="0">
      <w:start w:val="0"/>
      <w:numFmt w:val="bullet"/>
      <w:lvlText w:val="•"/>
      <w:lvlJc w:val="left"/>
      <w:pPr>
        <w:ind w:left="6621" w:hanging="283"/>
      </w:pPr>
      <w:rPr>
        <w:rFonts w:hint="default"/>
      </w:rPr>
    </w:lvl>
    <w:lvl w:ilvl="8" w:tentative="0">
      <w:start w:val="0"/>
      <w:numFmt w:val="bullet"/>
      <w:lvlText w:val="•"/>
      <w:lvlJc w:val="left"/>
      <w:pPr>
        <w:ind w:left="7536" w:hanging="283"/>
      </w:pPr>
      <w:rPr>
        <w:rFonts w:hint="default"/>
      </w:rPr>
    </w:lvl>
  </w:abstractNum>
  <w:abstractNum w:abstractNumId="7">
    <w:nsid w:val="0248C179"/>
    <w:multiLevelType w:val="multilevel"/>
    <w:tmpl w:val="0248C179"/>
    <w:lvl w:ilvl="0" w:tentative="0">
      <w:start w:val="1"/>
      <w:numFmt w:val="decimal"/>
      <w:lvlText w:val="%1."/>
      <w:lvlJc w:val="left"/>
      <w:pPr>
        <w:ind w:left="253" w:hanging="290"/>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74" w:hanging="290"/>
      </w:pPr>
      <w:rPr>
        <w:rFonts w:hint="default"/>
      </w:rPr>
    </w:lvl>
    <w:lvl w:ilvl="2" w:tentative="0">
      <w:start w:val="0"/>
      <w:numFmt w:val="bullet"/>
      <w:lvlText w:val="•"/>
      <w:lvlJc w:val="left"/>
      <w:pPr>
        <w:ind w:left="2089" w:hanging="290"/>
      </w:pPr>
      <w:rPr>
        <w:rFonts w:hint="default"/>
      </w:rPr>
    </w:lvl>
    <w:lvl w:ilvl="3" w:tentative="0">
      <w:start w:val="0"/>
      <w:numFmt w:val="bullet"/>
      <w:lvlText w:val="•"/>
      <w:lvlJc w:val="left"/>
      <w:pPr>
        <w:ind w:left="3003" w:hanging="290"/>
      </w:pPr>
      <w:rPr>
        <w:rFonts w:hint="default"/>
      </w:rPr>
    </w:lvl>
    <w:lvl w:ilvl="4" w:tentative="0">
      <w:start w:val="0"/>
      <w:numFmt w:val="bullet"/>
      <w:lvlText w:val="•"/>
      <w:lvlJc w:val="left"/>
      <w:pPr>
        <w:ind w:left="3918" w:hanging="290"/>
      </w:pPr>
      <w:rPr>
        <w:rFonts w:hint="default"/>
      </w:rPr>
    </w:lvl>
    <w:lvl w:ilvl="5" w:tentative="0">
      <w:start w:val="0"/>
      <w:numFmt w:val="bullet"/>
      <w:lvlText w:val="•"/>
      <w:lvlJc w:val="left"/>
      <w:pPr>
        <w:ind w:left="4832" w:hanging="290"/>
      </w:pPr>
      <w:rPr>
        <w:rFonts w:hint="default"/>
      </w:rPr>
    </w:lvl>
    <w:lvl w:ilvl="6" w:tentative="0">
      <w:start w:val="0"/>
      <w:numFmt w:val="bullet"/>
      <w:lvlText w:val="•"/>
      <w:lvlJc w:val="left"/>
      <w:pPr>
        <w:ind w:left="5747" w:hanging="290"/>
      </w:pPr>
      <w:rPr>
        <w:rFonts w:hint="default"/>
      </w:rPr>
    </w:lvl>
    <w:lvl w:ilvl="7" w:tentative="0">
      <w:start w:val="0"/>
      <w:numFmt w:val="bullet"/>
      <w:lvlText w:val="•"/>
      <w:lvlJc w:val="left"/>
      <w:pPr>
        <w:ind w:left="6661" w:hanging="290"/>
      </w:pPr>
      <w:rPr>
        <w:rFonts w:hint="default"/>
      </w:rPr>
    </w:lvl>
    <w:lvl w:ilvl="8" w:tentative="0">
      <w:start w:val="0"/>
      <w:numFmt w:val="bullet"/>
      <w:lvlText w:val="•"/>
      <w:lvlJc w:val="left"/>
      <w:pPr>
        <w:ind w:left="7576" w:hanging="290"/>
      </w:pPr>
      <w:rPr>
        <w:rFonts w:hint="default"/>
      </w:rPr>
    </w:lvl>
  </w:abstractNum>
  <w:abstractNum w:abstractNumId="8">
    <w:nsid w:val="03D62ECE"/>
    <w:multiLevelType w:val="multilevel"/>
    <w:tmpl w:val="03D62ECE"/>
    <w:lvl w:ilvl="0" w:tentative="0">
      <w:start w:val="1"/>
      <w:numFmt w:val="decimal"/>
      <w:lvlText w:val="%1."/>
      <w:lvlJc w:val="left"/>
      <w:pPr>
        <w:ind w:left="217"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34" w:hanging="284"/>
      </w:pPr>
      <w:rPr>
        <w:rFonts w:hint="default"/>
      </w:rPr>
    </w:lvl>
    <w:lvl w:ilvl="2" w:tentative="0">
      <w:start w:val="0"/>
      <w:numFmt w:val="bullet"/>
      <w:lvlText w:val="•"/>
      <w:lvlJc w:val="left"/>
      <w:pPr>
        <w:ind w:left="2049" w:hanging="284"/>
      </w:pPr>
      <w:rPr>
        <w:rFonts w:hint="default"/>
      </w:rPr>
    </w:lvl>
    <w:lvl w:ilvl="3" w:tentative="0">
      <w:start w:val="0"/>
      <w:numFmt w:val="bullet"/>
      <w:lvlText w:val="•"/>
      <w:lvlJc w:val="left"/>
      <w:pPr>
        <w:ind w:left="2963" w:hanging="284"/>
      </w:pPr>
      <w:rPr>
        <w:rFonts w:hint="default"/>
      </w:rPr>
    </w:lvl>
    <w:lvl w:ilvl="4" w:tentative="0">
      <w:start w:val="0"/>
      <w:numFmt w:val="bullet"/>
      <w:lvlText w:val="•"/>
      <w:lvlJc w:val="left"/>
      <w:pPr>
        <w:ind w:left="3878" w:hanging="284"/>
      </w:pPr>
      <w:rPr>
        <w:rFonts w:hint="default"/>
      </w:rPr>
    </w:lvl>
    <w:lvl w:ilvl="5" w:tentative="0">
      <w:start w:val="0"/>
      <w:numFmt w:val="bullet"/>
      <w:lvlText w:val="•"/>
      <w:lvlJc w:val="left"/>
      <w:pPr>
        <w:ind w:left="4792" w:hanging="284"/>
      </w:pPr>
      <w:rPr>
        <w:rFonts w:hint="default"/>
      </w:rPr>
    </w:lvl>
    <w:lvl w:ilvl="6" w:tentative="0">
      <w:start w:val="0"/>
      <w:numFmt w:val="bullet"/>
      <w:lvlText w:val="•"/>
      <w:lvlJc w:val="left"/>
      <w:pPr>
        <w:ind w:left="5707" w:hanging="284"/>
      </w:pPr>
      <w:rPr>
        <w:rFonts w:hint="default"/>
      </w:rPr>
    </w:lvl>
    <w:lvl w:ilvl="7" w:tentative="0">
      <w:start w:val="0"/>
      <w:numFmt w:val="bullet"/>
      <w:lvlText w:val="•"/>
      <w:lvlJc w:val="left"/>
      <w:pPr>
        <w:ind w:left="6621" w:hanging="284"/>
      </w:pPr>
      <w:rPr>
        <w:rFonts w:hint="default"/>
      </w:rPr>
    </w:lvl>
    <w:lvl w:ilvl="8" w:tentative="0">
      <w:start w:val="0"/>
      <w:numFmt w:val="bullet"/>
      <w:lvlText w:val="•"/>
      <w:lvlJc w:val="left"/>
      <w:pPr>
        <w:ind w:left="7536" w:hanging="284"/>
      </w:pPr>
      <w:rPr>
        <w:rFonts w:hint="default"/>
      </w:rPr>
    </w:lvl>
  </w:abstractNum>
  <w:abstractNum w:abstractNumId="9">
    <w:nsid w:val="25B654F3"/>
    <w:multiLevelType w:val="multilevel"/>
    <w:tmpl w:val="25B654F3"/>
    <w:lvl w:ilvl="0" w:tentative="0">
      <w:start w:val="1"/>
      <w:numFmt w:val="decimal"/>
      <w:lvlText w:val="%1."/>
      <w:lvlJc w:val="left"/>
      <w:pPr>
        <w:ind w:left="113" w:hanging="284"/>
        <w:jc w:val="lef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10">
    <w:nsid w:val="2A8F537B"/>
    <w:multiLevelType w:val="multilevel"/>
    <w:tmpl w:val="2A8F537B"/>
    <w:lvl w:ilvl="0" w:tentative="0">
      <w:start w:val="1"/>
      <w:numFmt w:val="decimal"/>
      <w:lvlText w:val="%1."/>
      <w:lvlJc w:val="left"/>
      <w:pPr>
        <w:ind w:left="253"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174" w:hanging="284"/>
      </w:pPr>
      <w:rPr>
        <w:rFonts w:hint="default"/>
      </w:rPr>
    </w:lvl>
    <w:lvl w:ilvl="2" w:tentative="0">
      <w:start w:val="0"/>
      <w:numFmt w:val="bullet"/>
      <w:lvlText w:val="•"/>
      <w:lvlJc w:val="left"/>
      <w:pPr>
        <w:ind w:left="2089" w:hanging="284"/>
      </w:pPr>
      <w:rPr>
        <w:rFonts w:hint="default"/>
      </w:rPr>
    </w:lvl>
    <w:lvl w:ilvl="3" w:tentative="0">
      <w:start w:val="0"/>
      <w:numFmt w:val="bullet"/>
      <w:lvlText w:val="•"/>
      <w:lvlJc w:val="left"/>
      <w:pPr>
        <w:ind w:left="3003" w:hanging="284"/>
      </w:pPr>
      <w:rPr>
        <w:rFonts w:hint="default"/>
      </w:rPr>
    </w:lvl>
    <w:lvl w:ilvl="4" w:tentative="0">
      <w:start w:val="0"/>
      <w:numFmt w:val="bullet"/>
      <w:lvlText w:val="•"/>
      <w:lvlJc w:val="left"/>
      <w:pPr>
        <w:ind w:left="3918" w:hanging="284"/>
      </w:pPr>
      <w:rPr>
        <w:rFonts w:hint="default"/>
      </w:rPr>
    </w:lvl>
    <w:lvl w:ilvl="5" w:tentative="0">
      <w:start w:val="0"/>
      <w:numFmt w:val="bullet"/>
      <w:lvlText w:val="•"/>
      <w:lvlJc w:val="left"/>
      <w:pPr>
        <w:ind w:left="4832" w:hanging="284"/>
      </w:pPr>
      <w:rPr>
        <w:rFonts w:hint="default"/>
      </w:rPr>
    </w:lvl>
    <w:lvl w:ilvl="6" w:tentative="0">
      <w:start w:val="0"/>
      <w:numFmt w:val="bullet"/>
      <w:lvlText w:val="•"/>
      <w:lvlJc w:val="left"/>
      <w:pPr>
        <w:ind w:left="5747" w:hanging="284"/>
      </w:pPr>
      <w:rPr>
        <w:rFonts w:hint="default"/>
      </w:rPr>
    </w:lvl>
    <w:lvl w:ilvl="7" w:tentative="0">
      <w:start w:val="0"/>
      <w:numFmt w:val="bullet"/>
      <w:lvlText w:val="•"/>
      <w:lvlJc w:val="left"/>
      <w:pPr>
        <w:ind w:left="6661" w:hanging="284"/>
      </w:pPr>
      <w:rPr>
        <w:rFonts w:hint="default"/>
      </w:rPr>
    </w:lvl>
    <w:lvl w:ilvl="8" w:tentative="0">
      <w:start w:val="0"/>
      <w:numFmt w:val="bullet"/>
      <w:lvlText w:val="•"/>
      <w:lvlJc w:val="left"/>
      <w:pPr>
        <w:ind w:left="7576" w:hanging="284"/>
      </w:pPr>
      <w:rPr>
        <w:rFonts w:hint="default"/>
      </w:rPr>
    </w:lvl>
  </w:abstractNum>
  <w:abstractNum w:abstractNumId="11">
    <w:nsid w:val="4D4DC07F"/>
    <w:multiLevelType w:val="multilevel"/>
    <w:tmpl w:val="4D4DC07F"/>
    <w:lvl w:ilvl="0" w:tentative="0">
      <w:start w:val="1"/>
      <w:numFmt w:val="decimal"/>
      <w:lvlText w:val="%1."/>
      <w:lvlJc w:val="left"/>
      <w:pPr>
        <w:ind w:left="117" w:hanging="284"/>
        <w:jc w:val="lef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12">
    <w:nsid w:val="59ADCABA"/>
    <w:multiLevelType w:val="multilevel"/>
    <w:tmpl w:val="59ADCABA"/>
    <w:lvl w:ilvl="0" w:tentative="0">
      <w:start w:val="4"/>
      <w:numFmt w:val="decimal"/>
      <w:lvlText w:val="%1"/>
      <w:lvlJc w:val="left"/>
      <w:pPr>
        <w:ind w:left="113" w:hanging="433"/>
        <w:jc w:val="left"/>
      </w:pPr>
      <w:rPr>
        <w:rFonts w:hint="default"/>
      </w:rPr>
    </w:lvl>
    <w:lvl w:ilvl="1" w:tentative="0">
      <w:start w:val="5"/>
      <w:numFmt w:val="decimal"/>
      <w:lvlText w:val="%1.%2"/>
      <w:lvlJc w:val="left"/>
      <w:pPr>
        <w:ind w:left="113" w:hanging="433"/>
        <w:jc w:val="left"/>
      </w:pPr>
      <w:rPr>
        <w:rFonts w:hint="default" w:ascii="Times New Roman" w:hAnsi="Times New Roman" w:eastAsia="Times New Roman" w:cs="Times New Roman"/>
        <w:color w:val="231F20"/>
        <w:spacing w:val="0"/>
        <w:w w:val="101"/>
        <w:sz w:val="29"/>
        <w:szCs w:val="29"/>
      </w:rPr>
    </w:lvl>
    <w:lvl w:ilvl="2" w:tentative="0">
      <w:start w:val="1"/>
      <w:numFmt w:val="decimal"/>
      <w:lvlText w:val="%3."/>
      <w:lvlJc w:val="left"/>
      <w:pPr>
        <w:ind w:left="117" w:hanging="284"/>
        <w:jc w:val="right"/>
      </w:pPr>
      <w:rPr>
        <w:rFonts w:hint="default" w:ascii="Times New Roman" w:hAnsi="Times New Roman" w:eastAsia="Times New Roman" w:cs="Times New Roman"/>
        <w:color w:val="231F20"/>
        <w:spacing w:val="0"/>
        <w:w w:val="101"/>
        <w:sz w:val="29"/>
        <w:szCs w:val="29"/>
      </w:rPr>
    </w:lvl>
    <w:lvl w:ilvl="3" w:tentative="0">
      <w:start w:val="0"/>
      <w:numFmt w:val="bullet"/>
      <w:lvlText w:val="•"/>
      <w:lvlJc w:val="left"/>
      <w:pPr>
        <w:ind w:left="2803" w:hanging="284"/>
      </w:pPr>
      <w:rPr>
        <w:rFonts w:hint="default"/>
      </w:rPr>
    </w:lvl>
    <w:lvl w:ilvl="4" w:tentative="0">
      <w:start w:val="0"/>
      <w:numFmt w:val="bullet"/>
      <w:lvlText w:val="•"/>
      <w:lvlJc w:val="left"/>
      <w:pPr>
        <w:ind w:left="3698" w:hanging="284"/>
      </w:pPr>
      <w:rPr>
        <w:rFonts w:hint="default"/>
      </w:rPr>
    </w:lvl>
    <w:lvl w:ilvl="5" w:tentative="0">
      <w:start w:val="0"/>
      <w:numFmt w:val="bullet"/>
      <w:lvlText w:val="•"/>
      <w:lvlJc w:val="left"/>
      <w:pPr>
        <w:ind w:left="4592" w:hanging="284"/>
      </w:pPr>
      <w:rPr>
        <w:rFonts w:hint="default"/>
      </w:rPr>
    </w:lvl>
    <w:lvl w:ilvl="6" w:tentative="0">
      <w:start w:val="0"/>
      <w:numFmt w:val="bullet"/>
      <w:lvlText w:val="•"/>
      <w:lvlJc w:val="left"/>
      <w:pPr>
        <w:ind w:left="5487" w:hanging="284"/>
      </w:pPr>
      <w:rPr>
        <w:rFonts w:hint="default"/>
      </w:rPr>
    </w:lvl>
    <w:lvl w:ilvl="7" w:tentative="0">
      <w:start w:val="0"/>
      <w:numFmt w:val="bullet"/>
      <w:lvlText w:val="•"/>
      <w:lvlJc w:val="left"/>
      <w:pPr>
        <w:ind w:left="6381" w:hanging="284"/>
      </w:pPr>
      <w:rPr>
        <w:rFonts w:hint="default"/>
      </w:rPr>
    </w:lvl>
    <w:lvl w:ilvl="8" w:tentative="0">
      <w:start w:val="0"/>
      <w:numFmt w:val="bullet"/>
      <w:lvlText w:val="•"/>
      <w:lvlJc w:val="left"/>
      <w:pPr>
        <w:ind w:left="7276" w:hanging="284"/>
      </w:pPr>
      <w:rPr>
        <w:rFonts w:hint="default"/>
      </w:rPr>
    </w:lvl>
  </w:abstractNum>
  <w:abstractNum w:abstractNumId="13">
    <w:nsid w:val="5A241D34"/>
    <w:multiLevelType w:val="multilevel"/>
    <w:tmpl w:val="5A241D34"/>
    <w:lvl w:ilvl="0" w:tentative="0">
      <w:start w:val="1"/>
      <w:numFmt w:val="decimal"/>
      <w:lvlText w:val="%1."/>
      <w:lvlJc w:val="left"/>
      <w:pPr>
        <w:ind w:left="117" w:hanging="284"/>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84"/>
      </w:pPr>
      <w:rPr>
        <w:rFonts w:hint="default"/>
      </w:rPr>
    </w:lvl>
    <w:lvl w:ilvl="2" w:tentative="0">
      <w:start w:val="0"/>
      <w:numFmt w:val="bullet"/>
      <w:lvlText w:val="•"/>
      <w:lvlJc w:val="left"/>
      <w:pPr>
        <w:ind w:left="1949" w:hanging="284"/>
      </w:pPr>
      <w:rPr>
        <w:rFonts w:hint="default"/>
      </w:rPr>
    </w:lvl>
    <w:lvl w:ilvl="3" w:tentative="0">
      <w:start w:val="0"/>
      <w:numFmt w:val="bullet"/>
      <w:lvlText w:val="•"/>
      <w:lvlJc w:val="left"/>
      <w:pPr>
        <w:ind w:left="2863" w:hanging="284"/>
      </w:pPr>
      <w:rPr>
        <w:rFonts w:hint="default"/>
      </w:rPr>
    </w:lvl>
    <w:lvl w:ilvl="4" w:tentative="0">
      <w:start w:val="0"/>
      <w:numFmt w:val="bullet"/>
      <w:lvlText w:val="•"/>
      <w:lvlJc w:val="left"/>
      <w:pPr>
        <w:ind w:left="3778" w:hanging="284"/>
      </w:pPr>
      <w:rPr>
        <w:rFonts w:hint="default"/>
      </w:rPr>
    </w:lvl>
    <w:lvl w:ilvl="5" w:tentative="0">
      <w:start w:val="0"/>
      <w:numFmt w:val="bullet"/>
      <w:lvlText w:val="•"/>
      <w:lvlJc w:val="left"/>
      <w:pPr>
        <w:ind w:left="4692" w:hanging="284"/>
      </w:pPr>
      <w:rPr>
        <w:rFonts w:hint="default"/>
      </w:rPr>
    </w:lvl>
    <w:lvl w:ilvl="6" w:tentative="0">
      <w:start w:val="0"/>
      <w:numFmt w:val="bullet"/>
      <w:lvlText w:val="•"/>
      <w:lvlJc w:val="left"/>
      <w:pPr>
        <w:ind w:left="5607" w:hanging="284"/>
      </w:pPr>
      <w:rPr>
        <w:rFonts w:hint="default"/>
      </w:rPr>
    </w:lvl>
    <w:lvl w:ilvl="7" w:tentative="0">
      <w:start w:val="0"/>
      <w:numFmt w:val="bullet"/>
      <w:lvlText w:val="•"/>
      <w:lvlJc w:val="left"/>
      <w:pPr>
        <w:ind w:left="6521" w:hanging="284"/>
      </w:pPr>
      <w:rPr>
        <w:rFonts w:hint="default"/>
      </w:rPr>
    </w:lvl>
    <w:lvl w:ilvl="8" w:tentative="0">
      <w:start w:val="0"/>
      <w:numFmt w:val="bullet"/>
      <w:lvlText w:val="•"/>
      <w:lvlJc w:val="left"/>
      <w:pPr>
        <w:ind w:left="7436" w:hanging="284"/>
      </w:pPr>
      <w:rPr>
        <w:rFonts w:hint="default"/>
      </w:rPr>
    </w:lvl>
  </w:abstractNum>
  <w:abstractNum w:abstractNumId="14">
    <w:nsid w:val="72183CF9"/>
    <w:multiLevelType w:val="multilevel"/>
    <w:tmpl w:val="72183CF9"/>
    <w:lvl w:ilvl="0" w:tentative="0">
      <w:start w:val="1"/>
      <w:numFmt w:val="decimal"/>
      <w:lvlText w:val="%1."/>
      <w:lvlJc w:val="left"/>
      <w:pPr>
        <w:ind w:left="117" w:hanging="290"/>
        <w:jc w:val="right"/>
      </w:pPr>
      <w:rPr>
        <w:rFonts w:hint="default" w:ascii="Times New Roman" w:hAnsi="Times New Roman" w:eastAsia="Times New Roman" w:cs="Times New Roman"/>
        <w:color w:val="231F20"/>
        <w:spacing w:val="0"/>
        <w:w w:val="101"/>
        <w:sz w:val="29"/>
        <w:szCs w:val="29"/>
      </w:rPr>
    </w:lvl>
    <w:lvl w:ilvl="1" w:tentative="0">
      <w:start w:val="0"/>
      <w:numFmt w:val="bullet"/>
      <w:lvlText w:val="•"/>
      <w:lvlJc w:val="left"/>
      <w:pPr>
        <w:ind w:left="1034" w:hanging="290"/>
      </w:pPr>
      <w:rPr>
        <w:rFonts w:hint="default"/>
      </w:rPr>
    </w:lvl>
    <w:lvl w:ilvl="2" w:tentative="0">
      <w:start w:val="0"/>
      <w:numFmt w:val="bullet"/>
      <w:lvlText w:val="•"/>
      <w:lvlJc w:val="left"/>
      <w:pPr>
        <w:ind w:left="1949" w:hanging="290"/>
      </w:pPr>
      <w:rPr>
        <w:rFonts w:hint="default"/>
      </w:rPr>
    </w:lvl>
    <w:lvl w:ilvl="3" w:tentative="0">
      <w:start w:val="0"/>
      <w:numFmt w:val="bullet"/>
      <w:lvlText w:val="•"/>
      <w:lvlJc w:val="left"/>
      <w:pPr>
        <w:ind w:left="2863" w:hanging="290"/>
      </w:pPr>
      <w:rPr>
        <w:rFonts w:hint="default"/>
      </w:rPr>
    </w:lvl>
    <w:lvl w:ilvl="4" w:tentative="0">
      <w:start w:val="0"/>
      <w:numFmt w:val="bullet"/>
      <w:lvlText w:val="•"/>
      <w:lvlJc w:val="left"/>
      <w:pPr>
        <w:ind w:left="3778" w:hanging="290"/>
      </w:pPr>
      <w:rPr>
        <w:rFonts w:hint="default"/>
      </w:rPr>
    </w:lvl>
    <w:lvl w:ilvl="5" w:tentative="0">
      <w:start w:val="0"/>
      <w:numFmt w:val="bullet"/>
      <w:lvlText w:val="•"/>
      <w:lvlJc w:val="left"/>
      <w:pPr>
        <w:ind w:left="4692" w:hanging="290"/>
      </w:pPr>
      <w:rPr>
        <w:rFonts w:hint="default"/>
      </w:rPr>
    </w:lvl>
    <w:lvl w:ilvl="6" w:tentative="0">
      <w:start w:val="0"/>
      <w:numFmt w:val="bullet"/>
      <w:lvlText w:val="•"/>
      <w:lvlJc w:val="left"/>
      <w:pPr>
        <w:ind w:left="5607" w:hanging="290"/>
      </w:pPr>
      <w:rPr>
        <w:rFonts w:hint="default"/>
      </w:rPr>
    </w:lvl>
    <w:lvl w:ilvl="7" w:tentative="0">
      <w:start w:val="0"/>
      <w:numFmt w:val="bullet"/>
      <w:lvlText w:val="•"/>
      <w:lvlJc w:val="left"/>
      <w:pPr>
        <w:ind w:left="6521" w:hanging="290"/>
      </w:pPr>
      <w:rPr>
        <w:rFonts w:hint="default"/>
      </w:rPr>
    </w:lvl>
    <w:lvl w:ilvl="8" w:tentative="0">
      <w:start w:val="0"/>
      <w:numFmt w:val="bullet"/>
      <w:lvlText w:val="•"/>
      <w:lvlJc w:val="left"/>
      <w:pPr>
        <w:ind w:left="7436" w:hanging="290"/>
      </w:pPr>
      <w:rPr>
        <w:rFonts w:hint="default"/>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zdjYzYzM2Q4MzdlZGRlNjhjNGExMGQ5N2NiNTExNGQifQ=="/>
  </w:docVars>
  <w:rsids>
    <w:rsidRoot w:val="00000000"/>
    <w:rsid w:val="0E5D0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0"/>
    </w:pPr>
    <w:rPr>
      <w:rFonts w:ascii="方正仿宋_GBK" w:hAnsi="方正仿宋_GBK" w:eastAsia="方正仿宋_GBK" w:cs="方正仿宋_GBK"/>
      <w:sz w:val="29"/>
      <w:szCs w:val="29"/>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40"/>
      <w:ind w:left="117" w:right="251" w:firstLine="619"/>
    </w:pPr>
    <w:rPr>
      <w:rFonts w:ascii="方正仿宋_GBK" w:hAnsi="方正仿宋_GBK" w:eastAsia="方正仿宋_GBK" w:cs="方正仿宋_GBK"/>
    </w:rPr>
  </w:style>
  <w:style w:type="paragraph" w:customStyle="1" w:styleId="7">
    <w:name w:val="Table Paragraph"/>
    <w:basedOn w:val="1"/>
    <w:qFormat/>
    <w:uiPriority w:val="1"/>
    <w:pPr>
      <w:jc w:val="center"/>
    </w:pPr>
    <w:rPr>
      <w:rFonts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1026"/>
    <customShpInfo spid="_x0000_s1027"/>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12790</Words>
  <Characters>13189</Characters>
  <TotalTime>0</TotalTime>
  <ScaleCrop>false</ScaleCrop>
  <LinksUpToDate>false</LinksUpToDate>
  <CharactersWithSpaces>13650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2023-02-09T12:57:00Z</dcterms:created>
  <dc:creator>Administrator</dc:creator>
  <cp:lastModifiedBy>亭亭@然然</cp:lastModifiedBy>
  <dcterms:modified xsi:type="dcterms:W3CDTF">2023-02-09T04:58:10Z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方正飞翔8.2 专业版 8.2.0.1726</vt:lpwstr>
  </property>
  <property fmtid="{D5CDD505-2E9C-101B-9397-08002B2CF9AE}" pid="4" name="LastSaved">
    <vt:filetime>2023-02-09T00:00:00Z</vt:filetime>
  </property>
  <property fmtid="{D5CDD505-2E9C-101B-9397-08002B2CF9AE}" pid="5" name="KSOProductBuildVer">
    <vt:lpwstr>2052-11.1.0.13703</vt:lpwstr>
  </property>
  <property fmtid="{D5CDD505-2E9C-101B-9397-08002B2CF9AE}" pid="6" name="ICV">
    <vt:lpwstr>CEDC1A0E4932486286CF6011828BE3F4</vt:lpwstr>
  </property>
</Properties>
</file>