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before="0" w:beforeLines="0" w:after="0" w:afterLines="0" w:line="600" w:lineRule="exact"/>
        <w:jc w:val="both"/>
        <w:outlineLvl w:val="9"/>
        <w:rPr>
          <w:rFonts w:hint="default" w:ascii="Times New Roman" w:hAnsi="Times New Roman" w:cs="Times New Roman"/>
          <w:color w:val="auto"/>
          <w:sz w:val="44"/>
          <w:szCs w:val="44"/>
          <w:highlight w:val="none"/>
          <w:u w:val="none"/>
        </w:rPr>
      </w:pPr>
    </w:p>
    <w:p>
      <w:pPr>
        <w:spacing w:line="600" w:lineRule="exact"/>
        <w:jc w:val="center"/>
        <w:outlineLvl w:val="0"/>
        <w:rPr>
          <w:rFonts w:hint="default" w:ascii="Times New Roman" w:hAnsi="Times New Roman" w:eastAsia="方正小标宋简体" w:cs="Times New Roman"/>
          <w:color w:val="auto"/>
          <w:sz w:val="52"/>
          <w:szCs w:val="52"/>
          <w:highlight w:val="none"/>
          <w:u w:val="none"/>
        </w:rPr>
      </w:pPr>
      <w:bookmarkStart w:id="0" w:name="_GoBack"/>
      <w:r>
        <w:rPr>
          <w:rFonts w:hint="default" w:ascii="Times New Roman" w:hAnsi="Times New Roman" w:eastAsia="方正小标宋简体" w:cs="Times New Roman"/>
          <w:color w:val="auto"/>
          <w:sz w:val="52"/>
          <w:szCs w:val="52"/>
          <w:highlight w:val="none"/>
          <w:u w:val="none"/>
        </w:rPr>
        <w:t>茂名市医疗保障事业发展</w:t>
      </w:r>
    </w:p>
    <w:p>
      <w:pPr>
        <w:spacing w:line="600" w:lineRule="exact"/>
        <w:jc w:val="center"/>
        <w:outlineLvl w:val="0"/>
        <w:rPr>
          <w:rFonts w:hint="default" w:ascii="Times New Roman" w:hAnsi="Times New Roman" w:eastAsia="方正小标宋简体" w:cs="Times New Roman"/>
          <w:color w:val="auto"/>
          <w:sz w:val="52"/>
          <w:szCs w:val="52"/>
          <w:highlight w:val="none"/>
          <w:u w:val="none"/>
        </w:rPr>
      </w:pPr>
      <w:r>
        <w:rPr>
          <w:rFonts w:hint="default" w:ascii="Times New Roman" w:hAnsi="Times New Roman" w:eastAsia="方正小标宋简体" w:cs="Times New Roman"/>
          <w:color w:val="auto"/>
          <w:sz w:val="52"/>
          <w:szCs w:val="52"/>
          <w:highlight w:val="none"/>
          <w:u w:val="none"/>
        </w:rPr>
        <w:t>“十四五”规划</w:t>
      </w:r>
    </w:p>
    <w:p>
      <w:pPr>
        <w:spacing w:line="600" w:lineRule="exact"/>
        <w:jc w:val="center"/>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楷体_GB2312" w:cs="Times New Roman"/>
          <w:color w:val="auto"/>
          <w:sz w:val="32"/>
          <w:szCs w:val="32"/>
          <w:highlight w:val="none"/>
          <w:u w:val="none"/>
          <w:lang w:val="en-US" w:eastAsia="zh-CN"/>
        </w:rPr>
        <w:t xml:space="preserve"> </w:t>
      </w:r>
    </w:p>
    <w:bookmarkEnd w:id="0"/>
    <w:p>
      <w:pPr>
        <w:spacing w:line="600" w:lineRule="exact"/>
        <w:jc w:val="center"/>
        <w:rPr>
          <w:rFonts w:hint="default" w:ascii="Times New Roman" w:hAnsi="Times New Roman" w:eastAsia="仿宋_GB2312" w:cs="Times New Roman"/>
          <w:color w:val="auto"/>
          <w:sz w:val="32"/>
          <w:szCs w:val="32"/>
          <w:highlight w:val="none"/>
          <w:u w:val="none"/>
          <w:lang w:eastAsia="zh-CN"/>
        </w:rPr>
      </w:pPr>
    </w:p>
    <w:p>
      <w:pPr>
        <w:spacing w:line="600" w:lineRule="exact"/>
        <w:jc w:val="center"/>
        <w:rPr>
          <w:rFonts w:hint="default" w:ascii="Times New Roman" w:hAnsi="Times New Roman" w:eastAsia="仿宋_GB2312" w:cs="Times New Roman"/>
          <w:color w:val="auto"/>
          <w:sz w:val="32"/>
          <w:szCs w:val="32"/>
          <w:highlight w:val="none"/>
          <w:u w:val="none"/>
          <w:lang w:eastAsia="zh-CN"/>
        </w:rPr>
      </w:pPr>
    </w:p>
    <w:p>
      <w:pPr>
        <w:spacing w:line="600" w:lineRule="exact"/>
        <w:jc w:val="center"/>
        <w:rPr>
          <w:rFonts w:hint="default" w:ascii="Times New Roman" w:hAnsi="Times New Roman" w:eastAsia="仿宋_GB2312" w:cs="Times New Roman"/>
          <w:color w:val="auto"/>
          <w:sz w:val="32"/>
          <w:szCs w:val="32"/>
          <w:highlight w:val="none"/>
          <w:u w:val="none"/>
          <w:lang w:eastAsia="zh-CN"/>
        </w:rPr>
      </w:pPr>
    </w:p>
    <w:p>
      <w:pPr>
        <w:spacing w:line="600" w:lineRule="exact"/>
        <w:jc w:val="center"/>
        <w:rPr>
          <w:rFonts w:hint="default" w:ascii="Times New Roman" w:hAnsi="Times New Roman" w:eastAsia="仿宋_GB2312" w:cs="Times New Roman"/>
          <w:color w:val="auto"/>
          <w:sz w:val="32"/>
          <w:szCs w:val="32"/>
          <w:highlight w:val="none"/>
          <w:u w:val="none"/>
          <w:lang w:eastAsia="zh-CN"/>
        </w:rPr>
      </w:pPr>
    </w:p>
    <w:p>
      <w:pPr>
        <w:spacing w:line="600" w:lineRule="exact"/>
        <w:jc w:val="center"/>
        <w:rPr>
          <w:rFonts w:hint="default" w:ascii="Times New Roman" w:hAnsi="Times New Roman" w:eastAsia="仿宋_GB2312" w:cs="Times New Roman"/>
          <w:color w:val="auto"/>
          <w:sz w:val="32"/>
          <w:szCs w:val="32"/>
          <w:highlight w:val="none"/>
          <w:u w:val="none"/>
          <w:lang w:eastAsia="zh-CN"/>
        </w:rPr>
      </w:pPr>
    </w:p>
    <w:p>
      <w:pPr>
        <w:spacing w:line="600" w:lineRule="exact"/>
        <w:jc w:val="center"/>
        <w:rPr>
          <w:rFonts w:hint="default" w:ascii="Times New Roman" w:hAnsi="Times New Roman" w:eastAsia="仿宋_GB2312" w:cs="Times New Roman"/>
          <w:color w:val="auto"/>
          <w:sz w:val="32"/>
          <w:szCs w:val="32"/>
          <w:highlight w:val="none"/>
          <w:u w:val="none"/>
          <w:lang w:eastAsia="zh-CN"/>
        </w:rPr>
      </w:pPr>
    </w:p>
    <w:p>
      <w:pPr>
        <w:spacing w:line="600" w:lineRule="exact"/>
        <w:jc w:val="center"/>
        <w:rPr>
          <w:rFonts w:hint="default" w:ascii="Times New Roman" w:hAnsi="Times New Roman" w:eastAsia="仿宋_GB2312" w:cs="Times New Roman"/>
          <w:color w:val="auto"/>
          <w:sz w:val="32"/>
          <w:szCs w:val="32"/>
          <w:highlight w:val="none"/>
          <w:u w:val="none"/>
          <w:lang w:eastAsia="zh-CN"/>
        </w:rPr>
      </w:pPr>
    </w:p>
    <w:p>
      <w:pPr>
        <w:spacing w:line="600" w:lineRule="exact"/>
        <w:jc w:val="center"/>
        <w:rPr>
          <w:rFonts w:hint="default" w:ascii="Times New Roman" w:hAnsi="Times New Roman" w:eastAsia="仿宋_GB2312" w:cs="Times New Roman"/>
          <w:color w:val="auto"/>
          <w:sz w:val="32"/>
          <w:szCs w:val="32"/>
          <w:highlight w:val="none"/>
          <w:u w:val="none"/>
          <w:lang w:eastAsia="zh-CN"/>
        </w:rPr>
      </w:pPr>
    </w:p>
    <w:p>
      <w:pPr>
        <w:spacing w:line="600" w:lineRule="exact"/>
        <w:jc w:val="center"/>
        <w:rPr>
          <w:rFonts w:hint="default" w:ascii="Times New Roman" w:hAnsi="Times New Roman" w:eastAsia="仿宋_GB2312" w:cs="Times New Roman"/>
          <w:color w:val="auto"/>
          <w:sz w:val="32"/>
          <w:szCs w:val="32"/>
          <w:highlight w:val="none"/>
          <w:u w:val="none"/>
          <w:lang w:eastAsia="zh-CN"/>
        </w:rPr>
      </w:pPr>
    </w:p>
    <w:p>
      <w:pPr>
        <w:spacing w:line="600" w:lineRule="exact"/>
        <w:jc w:val="center"/>
        <w:rPr>
          <w:rFonts w:hint="default" w:ascii="Times New Roman" w:hAnsi="Times New Roman" w:eastAsia="仿宋_GB2312" w:cs="Times New Roman"/>
          <w:color w:val="auto"/>
          <w:sz w:val="32"/>
          <w:szCs w:val="32"/>
          <w:highlight w:val="none"/>
          <w:u w:val="none"/>
          <w:lang w:eastAsia="zh-CN"/>
        </w:rPr>
      </w:pPr>
    </w:p>
    <w:p>
      <w:pPr>
        <w:pStyle w:val="2"/>
        <w:spacing w:after="0" w:afterLines="0" w:line="600" w:lineRule="exact"/>
        <w:rPr>
          <w:rFonts w:hint="default" w:ascii="Times New Roman" w:hAnsi="Times New Roman" w:cs="Times New Roman"/>
          <w:color w:val="auto"/>
          <w:highlight w:val="none"/>
          <w:lang w:eastAsia="zh-CN"/>
        </w:rPr>
      </w:pPr>
    </w:p>
    <w:p>
      <w:pPr>
        <w:spacing w:line="600" w:lineRule="exact"/>
        <w:jc w:val="center"/>
        <w:rPr>
          <w:rFonts w:hint="default" w:ascii="Times New Roman" w:hAnsi="Times New Roman" w:eastAsia="仿宋_GB2312" w:cs="Times New Roman"/>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2022年6月</w:t>
      </w:r>
    </w:p>
    <w:p>
      <w:pPr>
        <w:spacing w:before="0" w:beforeLines="0" w:after="0" w:afterLines="0" w:line="600" w:lineRule="exact"/>
        <w:ind w:left="0" w:leftChars="0" w:right="0" w:firstLine="0" w:firstLineChars="0"/>
        <w:jc w:val="center"/>
        <w:rPr>
          <w:rFonts w:hint="default" w:ascii="Times New Roman" w:hAnsi="Times New Roman" w:eastAsia="方正小标宋简体" w:cs="Times New Roman"/>
          <w:color w:val="auto"/>
          <w:sz w:val="36"/>
          <w:szCs w:val="36"/>
          <w:highlight w:val="none"/>
          <w:u w:val="none"/>
        </w:rPr>
        <w:sectPr>
          <w:headerReference r:id="rId4" w:type="default"/>
          <w:footerReference r:id="rId5" w:type="default"/>
          <w:pgSz w:w="11906" w:h="16838"/>
          <w:pgMar w:top="2098" w:right="1587" w:bottom="1587" w:left="1587" w:header="851" w:footer="992" w:gutter="0"/>
          <w:pgNumType w:fmt="numberInDash" w:start="1"/>
          <w:cols w:space="720" w:num="1"/>
          <w:docGrid w:type="lines" w:linePitch="312" w:charSpace="0"/>
        </w:sectPr>
      </w:pPr>
    </w:p>
    <w:p>
      <w:pPr>
        <w:spacing w:before="0" w:beforeLines="0" w:after="0" w:afterLines="0" w:line="600" w:lineRule="exact"/>
        <w:ind w:left="0" w:leftChars="0" w:right="0" w:firstLine="0" w:firstLineChars="0"/>
        <w:jc w:val="center"/>
        <w:rPr>
          <w:rFonts w:hint="default" w:ascii="Times New Roman" w:hAnsi="Times New Roman" w:eastAsia="方正小标宋简体" w:cs="Times New Roman"/>
          <w:color w:val="auto"/>
          <w:sz w:val="36"/>
          <w:szCs w:val="36"/>
          <w:highlight w:val="none"/>
          <w:u w:val="none"/>
        </w:rPr>
      </w:pPr>
      <w:r>
        <w:rPr>
          <w:rFonts w:hint="default" w:ascii="Times New Roman" w:hAnsi="Times New Roman" w:eastAsia="方正小标宋简体" w:cs="Times New Roman"/>
          <w:color w:val="auto"/>
          <w:sz w:val="36"/>
          <w:szCs w:val="36"/>
          <w:highlight w:val="none"/>
          <w:u w:val="none"/>
        </w:rPr>
        <w:t>目</w:t>
      </w:r>
      <w:r>
        <w:rPr>
          <w:rFonts w:hint="eastAsia" w:ascii="Times New Roman" w:hAnsi="Times New Roman" w:eastAsia="方正小标宋简体" w:cs="Times New Roman"/>
          <w:color w:val="auto"/>
          <w:sz w:val="36"/>
          <w:szCs w:val="36"/>
          <w:highlight w:val="none"/>
          <w:u w:val="none"/>
          <w:lang w:val="en-US" w:eastAsia="zh-CN"/>
        </w:rPr>
        <w:t xml:space="preserve">   </w:t>
      </w:r>
      <w:r>
        <w:rPr>
          <w:rFonts w:hint="default" w:ascii="Times New Roman" w:hAnsi="Times New Roman" w:eastAsia="方正小标宋简体" w:cs="Times New Roman"/>
          <w:color w:val="auto"/>
          <w:sz w:val="36"/>
          <w:szCs w:val="36"/>
          <w:highlight w:val="none"/>
          <w:u w:val="none"/>
        </w:rPr>
        <w:t>录</w:t>
      </w:r>
    </w:p>
    <w:p>
      <w:pPr>
        <w:pStyle w:val="8"/>
        <w:tabs>
          <w:tab w:val="right" w:leader="dot" w:pos="8732"/>
        </w:tabs>
        <w:spacing w:line="600" w:lineRule="exact"/>
        <w:rPr>
          <w:rFonts w:hint="default" w:ascii="Times New Roman" w:hAnsi="Times New Roman" w:cs="Times New Roman"/>
          <w:color w:val="auto"/>
          <w:highlight w:val="none"/>
          <w:u w:val="none"/>
        </w:rPr>
      </w:pPr>
      <w:r>
        <w:rPr>
          <w:rFonts w:hint="default" w:ascii="Times New Roman" w:hAnsi="Times New Roman" w:eastAsia="楷体_GB2312" w:cs="Times New Roman"/>
          <w:b w:val="0"/>
          <w:bCs w:val="0"/>
          <w:color w:val="auto"/>
          <w:sz w:val="32"/>
          <w:szCs w:val="32"/>
          <w:highlight w:val="none"/>
          <w:u w:val="none"/>
        </w:rPr>
        <w:fldChar w:fldCharType="begin"/>
      </w:r>
      <w:r>
        <w:rPr>
          <w:rFonts w:hint="default" w:ascii="Times New Roman" w:hAnsi="Times New Roman" w:eastAsia="楷体_GB2312" w:cs="Times New Roman"/>
          <w:b w:val="0"/>
          <w:bCs w:val="0"/>
          <w:color w:val="auto"/>
          <w:sz w:val="32"/>
          <w:szCs w:val="32"/>
          <w:highlight w:val="none"/>
          <w:u w:val="none"/>
        </w:rPr>
        <w:instrText xml:space="preserve">TOC \o "1-3" \h \u </w:instrText>
      </w:r>
      <w:r>
        <w:rPr>
          <w:rFonts w:hint="default" w:ascii="Times New Roman" w:hAnsi="Times New Roman" w:eastAsia="楷体_GB2312" w:cs="Times New Roman"/>
          <w:b w:val="0"/>
          <w:bCs w:val="0"/>
          <w:color w:val="auto"/>
          <w:sz w:val="32"/>
          <w:szCs w:val="32"/>
          <w:highlight w:val="none"/>
          <w:u w:val="none"/>
        </w:rPr>
        <w:fldChar w:fldCharType="separate"/>
      </w:r>
    </w:p>
    <w:p>
      <w:pPr>
        <w:pStyle w:val="10"/>
        <w:tabs>
          <w:tab w:val="right" w:leader="dot" w:pos="8732"/>
          <w:tab w:val="clear" w:pos="8948"/>
        </w:tabs>
        <w:spacing w:line="600" w:lineRule="exact"/>
        <w:ind w:left="0" w:leftChars="0"/>
        <w:rPr>
          <w:rFonts w:hint="default" w:ascii="Times New Roman" w:hAnsi="Times New Roman" w:eastAsia="楷体_GB2312" w:cs="Times New Roman"/>
          <w:b w:val="0"/>
          <w:bCs/>
          <w:color w:val="auto"/>
          <w:highlight w:val="none"/>
          <w:u w:val="none"/>
        </w:rPr>
      </w:pPr>
      <w:r>
        <w:rPr>
          <w:rFonts w:hint="default" w:ascii="Times New Roman" w:hAnsi="Times New Roman" w:eastAsia="方正小标宋简体" w:cs="Times New Roman"/>
          <w:b w:val="0"/>
          <w:bCs/>
          <w:color w:val="auto"/>
          <w:szCs w:val="30"/>
          <w:highlight w:val="none"/>
          <w:u w:val="none"/>
        </w:rPr>
        <w:fldChar w:fldCharType="begin"/>
      </w:r>
      <w:r>
        <w:rPr>
          <w:rFonts w:hint="default" w:ascii="Times New Roman" w:hAnsi="Times New Roman" w:eastAsia="方正小标宋简体" w:cs="Times New Roman"/>
          <w:b w:val="0"/>
          <w:bCs/>
          <w:color w:val="auto"/>
          <w:szCs w:val="30"/>
          <w:highlight w:val="none"/>
          <w:u w:val="none"/>
        </w:rPr>
        <w:instrText xml:space="preserve"> HYPERLINK \l _Toc24456 </w:instrText>
      </w:r>
      <w:r>
        <w:rPr>
          <w:rFonts w:hint="default" w:ascii="Times New Roman" w:hAnsi="Times New Roman" w:eastAsia="方正小标宋简体" w:cs="Times New Roman"/>
          <w:b w:val="0"/>
          <w:bCs/>
          <w:color w:val="auto"/>
          <w:szCs w:val="30"/>
          <w:highlight w:val="none"/>
          <w:u w:val="none"/>
        </w:rPr>
        <w:fldChar w:fldCharType="separate"/>
      </w:r>
      <w:r>
        <w:rPr>
          <w:rFonts w:hint="default" w:ascii="Times New Roman" w:hAnsi="Times New Roman" w:eastAsia="方正小标宋简体" w:cs="Times New Roman"/>
          <w:b w:val="0"/>
          <w:bCs/>
          <w:color w:val="auto"/>
          <w:szCs w:val="30"/>
          <w:highlight w:val="none"/>
          <w:u w:val="none"/>
        </w:rPr>
        <w:t>前  言</w:t>
      </w:r>
      <w:r>
        <w:rPr>
          <w:rFonts w:hint="default" w:ascii="Times New Roman" w:hAnsi="Times New Roman" w:eastAsia="方正小标宋简体" w:cs="Times New Roman"/>
          <w:b w:val="0"/>
          <w:bCs/>
          <w:color w:val="auto"/>
          <w:highlight w:val="none"/>
          <w:u w:val="none"/>
        </w:rPr>
        <w:tab/>
      </w:r>
      <w:r>
        <w:rPr>
          <w:rFonts w:hint="default" w:ascii="Times New Roman" w:hAnsi="Times New Roman" w:eastAsia="方正小标宋简体" w:cs="Times New Roman"/>
          <w:b w:val="0"/>
          <w:bCs/>
          <w:color w:val="auto"/>
          <w:highlight w:val="none"/>
          <w:u w:val="none"/>
        </w:rPr>
        <w:fldChar w:fldCharType="begin"/>
      </w:r>
      <w:r>
        <w:rPr>
          <w:rFonts w:hint="default" w:ascii="Times New Roman" w:hAnsi="Times New Roman" w:eastAsia="方正小标宋简体" w:cs="Times New Roman"/>
          <w:b w:val="0"/>
          <w:bCs/>
          <w:color w:val="auto"/>
          <w:highlight w:val="none"/>
          <w:u w:val="none"/>
        </w:rPr>
        <w:instrText xml:space="preserve"> PAGEREF _Toc24456 \h </w:instrText>
      </w:r>
      <w:r>
        <w:rPr>
          <w:rFonts w:hint="default" w:ascii="Times New Roman" w:hAnsi="Times New Roman" w:eastAsia="方正小标宋简体" w:cs="Times New Roman"/>
          <w:b w:val="0"/>
          <w:bCs/>
          <w:color w:val="auto"/>
          <w:highlight w:val="none"/>
          <w:u w:val="none"/>
        </w:rPr>
        <w:fldChar w:fldCharType="separate"/>
      </w:r>
      <w:r>
        <w:rPr>
          <w:rFonts w:hint="default" w:ascii="Times New Roman" w:hAnsi="Times New Roman" w:eastAsia="方正小标宋简体" w:cs="Times New Roman"/>
          <w:b w:val="0"/>
          <w:bCs/>
          <w:color w:val="auto"/>
          <w:highlight w:val="none"/>
          <w:u w:val="none"/>
        </w:rPr>
        <w:t>1</w:t>
      </w:r>
      <w:r>
        <w:rPr>
          <w:rFonts w:hint="default" w:ascii="Times New Roman" w:hAnsi="Times New Roman" w:eastAsia="方正小标宋简体" w:cs="Times New Roman"/>
          <w:b w:val="0"/>
          <w:bCs/>
          <w:color w:val="auto"/>
          <w:highlight w:val="none"/>
          <w:u w:val="none"/>
        </w:rPr>
        <w:fldChar w:fldCharType="end"/>
      </w:r>
      <w:r>
        <w:rPr>
          <w:rFonts w:hint="default" w:ascii="Times New Roman" w:hAnsi="Times New Roman" w:eastAsia="方正小标宋简体" w:cs="Times New Roman"/>
          <w:b w:val="0"/>
          <w:bCs/>
          <w:color w:val="auto"/>
          <w:szCs w:val="30"/>
          <w:highlight w:val="none"/>
          <w:u w:val="none"/>
        </w:rPr>
        <w:fldChar w:fldCharType="end"/>
      </w:r>
    </w:p>
    <w:p>
      <w:pPr>
        <w:pStyle w:val="10"/>
        <w:tabs>
          <w:tab w:val="right" w:leader="dot" w:pos="8732"/>
          <w:tab w:val="clear" w:pos="8948"/>
        </w:tabs>
        <w:spacing w:line="600" w:lineRule="exact"/>
        <w:ind w:left="0" w:leftChars="0"/>
        <w:rPr>
          <w:rFonts w:hint="default" w:ascii="Times New Roman" w:hAnsi="Times New Roman" w:eastAsia="方正小标宋简体" w:cs="Times New Roman"/>
          <w:b w:val="0"/>
          <w:bCs/>
          <w:color w:val="auto"/>
          <w:highlight w:val="none"/>
          <w:u w:val="none"/>
        </w:rPr>
      </w:pPr>
      <w:r>
        <w:rPr>
          <w:rFonts w:hint="default" w:ascii="Times New Roman" w:hAnsi="Times New Roman" w:eastAsia="方正小标宋简体" w:cs="Times New Roman"/>
          <w:b w:val="0"/>
          <w:bCs/>
          <w:color w:val="auto"/>
          <w:szCs w:val="30"/>
          <w:highlight w:val="none"/>
          <w:u w:val="none"/>
        </w:rPr>
        <w:fldChar w:fldCharType="begin"/>
      </w:r>
      <w:r>
        <w:rPr>
          <w:rFonts w:hint="default" w:ascii="Times New Roman" w:hAnsi="Times New Roman" w:eastAsia="方正小标宋简体" w:cs="Times New Roman"/>
          <w:b w:val="0"/>
          <w:bCs/>
          <w:color w:val="auto"/>
          <w:szCs w:val="30"/>
          <w:highlight w:val="none"/>
          <w:u w:val="none"/>
        </w:rPr>
        <w:instrText xml:space="preserve"> HYPERLINK \l _Toc23293 </w:instrText>
      </w:r>
      <w:r>
        <w:rPr>
          <w:rFonts w:hint="default" w:ascii="Times New Roman" w:hAnsi="Times New Roman" w:eastAsia="方正小标宋简体" w:cs="Times New Roman"/>
          <w:b w:val="0"/>
          <w:bCs/>
          <w:color w:val="auto"/>
          <w:szCs w:val="30"/>
          <w:highlight w:val="none"/>
          <w:u w:val="none"/>
        </w:rPr>
        <w:fldChar w:fldCharType="separate"/>
      </w:r>
      <w:r>
        <w:rPr>
          <w:rFonts w:hint="default" w:ascii="Times New Roman" w:hAnsi="Times New Roman" w:eastAsia="方正小标宋简体" w:cs="Times New Roman"/>
          <w:b w:val="0"/>
          <w:bCs/>
          <w:color w:val="auto"/>
          <w:szCs w:val="30"/>
          <w:highlight w:val="none"/>
          <w:u w:val="none"/>
        </w:rPr>
        <w:t>第一章 发展基础和面临的形势</w:t>
      </w:r>
      <w:r>
        <w:rPr>
          <w:rFonts w:hint="default" w:ascii="Times New Roman" w:hAnsi="Times New Roman" w:eastAsia="方正小标宋简体" w:cs="Times New Roman"/>
          <w:b w:val="0"/>
          <w:bCs/>
          <w:color w:val="auto"/>
          <w:highlight w:val="none"/>
          <w:u w:val="none"/>
        </w:rPr>
        <w:tab/>
      </w:r>
      <w:r>
        <w:rPr>
          <w:rFonts w:hint="default" w:ascii="Times New Roman" w:hAnsi="Times New Roman" w:eastAsia="方正小标宋简体" w:cs="Times New Roman"/>
          <w:b w:val="0"/>
          <w:bCs/>
          <w:color w:val="auto"/>
          <w:highlight w:val="none"/>
          <w:u w:val="none"/>
        </w:rPr>
        <w:fldChar w:fldCharType="begin"/>
      </w:r>
      <w:r>
        <w:rPr>
          <w:rFonts w:hint="default" w:ascii="Times New Roman" w:hAnsi="Times New Roman" w:eastAsia="方正小标宋简体" w:cs="Times New Roman"/>
          <w:b w:val="0"/>
          <w:bCs/>
          <w:color w:val="auto"/>
          <w:highlight w:val="none"/>
          <w:u w:val="none"/>
        </w:rPr>
        <w:instrText xml:space="preserve"> PAGEREF _Toc23293 \h </w:instrText>
      </w:r>
      <w:r>
        <w:rPr>
          <w:rFonts w:hint="default" w:ascii="Times New Roman" w:hAnsi="Times New Roman" w:eastAsia="方正小标宋简体" w:cs="Times New Roman"/>
          <w:b w:val="0"/>
          <w:bCs/>
          <w:color w:val="auto"/>
          <w:highlight w:val="none"/>
          <w:u w:val="none"/>
        </w:rPr>
        <w:fldChar w:fldCharType="separate"/>
      </w:r>
      <w:r>
        <w:rPr>
          <w:rFonts w:hint="default" w:ascii="Times New Roman" w:hAnsi="Times New Roman" w:eastAsia="方正小标宋简体" w:cs="Times New Roman"/>
          <w:b w:val="0"/>
          <w:bCs/>
          <w:color w:val="auto"/>
          <w:highlight w:val="none"/>
          <w:u w:val="none"/>
        </w:rPr>
        <w:t>2</w:t>
      </w:r>
      <w:r>
        <w:rPr>
          <w:rFonts w:hint="default" w:ascii="Times New Roman" w:hAnsi="Times New Roman" w:eastAsia="方正小标宋简体" w:cs="Times New Roman"/>
          <w:b w:val="0"/>
          <w:bCs/>
          <w:color w:val="auto"/>
          <w:highlight w:val="none"/>
          <w:u w:val="none"/>
        </w:rPr>
        <w:fldChar w:fldCharType="end"/>
      </w:r>
      <w:r>
        <w:rPr>
          <w:rFonts w:hint="default" w:ascii="Times New Roman" w:hAnsi="Times New Roman" w:eastAsia="方正小标宋简体" w:cs="Times New Roman"/>
          <w:b w:val="0"/>
          <w:bCs/>
          <w:color w:val="auto"/>
          <w:szCs w:val="30"/>
          <w:highlight w:val="none"/>
          <w:u w:val="none"/>
        </w:rPr>
        <w:fldChar w:fldCharType="end"/>
      </w:r>
    </w:p>
    <w:p>
      <w:pPr>
        <w:pStyle w:val="5"/>
        <w:tabs>
          <w:tab w:val="right" w:leader="dot" w:pos="8732"/>
          <w:tab w:val="clear" w:pos="8948"/>
        </w:tabs>
        <w:spacing w:line="600" w:lineRule="exact"/>
        <w:ind w:left="0"/>
        <w:rPr>
          <w:rFonts w:hint="default" w:ascii="Times New Roman" w:hAnsi="Times New Roman" w:eastAsia="楷体_GB2312" w:cs="Times New Roman"/>
          <w:b w:val="0"/>
          <w:bCs/>
          <w:color w:val="auto"/>
          <w:sz w:val="30"/>
          <w:szCs w:val="30"/>
          <w:highlight w:val="none"/>
          <w:u w:val="none"/>
        </w:rPr>
      </w:pPr>
      <w:r>
        <w:rPr>
          <w:rFonts w:hint="default" w:ascii="Times New Roman" w:hAnsi="Times New Roman" w:eastAsia="楷体_GB2312" w:cs="Times New Roman"/>
          <w:b w:val="0"/>
          <w:bCs/>
          <w:color w:val="auto"/>
          <w:sz w:val="30"/>
          <w:szCs w:val="30"/>
          <w:highlight w:val="none"/>
          <w:u w:val="none"/>
        </w:rPr>
        <w:fldChar w:fldCharType="begin"/>
      </w:r>
      <w:r>
        <w:rPr>
          <w:rFonts w:hint="default" w:ascii="Times New Roman" w:hAnsi="Times New Roman" w:eastAsia="楷体_GB2312" w:cs="Times New Roman"/>
          <w:b w:val="0"/>
          <w:bCs/>
          <w:color w:val="auto"/>
          <w:sz w:val="30"/>
          <w:szCs w:val="30"/>
          <w:highlight w:val="none"/>
          <w:u w:val="none"/>
        </w:rPr>
        <w:instrText xml:space="preserve"> HYPERLINK \l _Toc5508 </w:instrText>
      </w:r>
      <w:r>
        <w:rPr>
          <w:rFonts w:hint="default" w:ascii="Times New Roman" w:hAnsi="Times New Roman" w:eastAsia="楷体_GB2312" w:cs="Times New Roman"/>
          <w:b w:val="0"/>
          <w:bCs/>
          <w:color w:val="auto"/>
          <w:sz w:val="30"/>
          <w:szCs w:val="30"/>
          <w:highlight w:val="none"/>
          <w:u w:val="none"/>
        </w:rPr>
        <w:fldChar w:fldCharType="separate"/>
      </w:r>
      <w:r>
        <w:rPr>
          <w:rFonts w:hint="default" w:ascii="Times New Roman" w:hAnsi="Times New Roman" w:eastAsia="楷体_GB2312" w:cs="Times New Roman"/>
          <w:b w:val="0"/>
          <w:bCs/>
          <w:color w:val="auto"/>
          <w:sz w:val="30"/>
          <w:szCs w:val="30"/>
          <w:highlight w:val="none"/>
          <w:u w:val="none"/>
        </w:rPr>
        <w:t>第一节  发展基础</w:t>
      </w:r>
      <w:r>
        <w:rPr>
          <w:rFonts w:hint="default" w:ascii="Times New Roman" w:hAnsi="Times New Roman" w:eastAsia="楷体_GB2312" w:cs="Times New Roman"/>
          <w:b w:val="0"/>
          <w:bCs/>
          <w:color w:val="auto"/>
          <w:sz w:val="30"/>
          <w:szCs w:val="30"/>
          <w:highlight w:val="none"/>
          <w:u w:val="none"/>
        </w:rPr>
        <w:tab/>
      </w:r>
      <w:r>
        <w:rPr>
          <w:rFonts w:hint="default" w:ascii="Times New Roman" w:hAnsi="Times New Roman" w:eastAsia="楷体_GB2312" w:cs="Times New Roman"/>
          <w:b w:val="0"/>
          <w:bCs/>
          <w:color w:val="auto"/>
          <w:sz w:val="30"/>
          <w:szCs w:val="30"/>
          <w:highlight w:val="none"/>
          <w:u w:val="none"/>
        </w:rPr>
        <w:fldChar w:fldCharType="begin"/>
      </w:r>
      <w:r>
        <w:rPr>
          <w:rFonts w:hint="default" w:ascii="Times New Roman" w:hAnsi="Times New Roman" w:eastAsia="楷体_GB2312" w:cs="Times New Roman"/>
          <w:b w:val="0"/>
          <w:bCs/>
          <w:color w:val="auto"/>
          <w:sz w:val="30"/>
          <w:szCs w:val="30"/>
          <w:highlight w:val="none"/>
          <w:u w:val="none"/>
        </w:rPr>
        <w:instrText xml:space="preserve"> PAGEREF _Toc5508 \h </w:instrText>
      </w:r>
      <w:r>
        <w:rPr>
          <w:rFonts w:hint="default" w:ascii="Times New Roman" w:hAnsi="Times New Roman" w:eastAsia="楷体_GB2312" w:cs="Times New Roman"/>
          <w:b w:val="0"/>
          <w:bCs/>
          <w:color w:val="auto"/>
          <w:sz w:val="30"/>
          <w:szCs w:val="30"/>
          <w:highlight w:val="none"/>
          <w:u w:val="none"/>
        </w:rPr>
        <w:fldChar w:fldCharType="separate"/>
      </w:r>
      <w:r>
        <w:rPr>
          <w:rFonts w:hint="default" w:ascii="Times New Roman" w:hAnsi="Times New Roman" w:eastAsia="楷体_GB2312" w:cs="Times New Roman"/>
          <w:b w:val="0"/>
          <w:bCs/>
          <w:color w:val="auto"/>
          <w:sz w:val="30"/>
          <w:szCs w:val="30"/>
          <w:highlight w:val="none"/>
          <w:u w:val="none"/>
        </w:rPr>
        <w:t>2</w:t>
      </w:r>
      <w:r>
        <w:rPr>
          <w:rFonts w:hint="default" w:ascii="Times New Roman" w:hAnsi="Times New Roman" w:eastAsia="楷体_GB2312" w:cs="Times New Roman"/>
          <w:b w:val="0"/>
          <w:bCs/>
          <w:color w:val="auto"/>
          <w:sz w:val="30"/>
          <w:szCs w:val="30"/>
          <w:highlight w:val="none"/>
          <w:u w:val="none"/>
        </w:rPr>
        <w:fldChar w:fldCharType="end"/>
      </w:r>
      <w:r>
        <w:rPr>
          <w:rFonts w:hint="default" w:ascii="Times New Roman" w:hAnsi="Times New Roman" w:eastAsia="楷体_GB2312" w:cs="Times New Roman"/>
          <w:b w:val="0"/>
          <w:bCs/>
          <w:color w:val="auto"/>
          <w:sz w:val="30"/>
          <w:szCs w:val="30"/>
          <w:highlight w:val="none"/>
          <w:u w:val="none"/>
        </w:rPr>
        <w:fldChar w:fldCharType="end"/>
      </w:r>
    </w:p>
    <w:p>
      <w:pPr>
        <w:pStyle w:val="5"/>
        <w:tabs>
          <w:tab w:val="right" w:leader="dot" w:pos="8732"/>
          <w:tab w:val="clear" w:pos="8948"/>
        </w:tabs>
        <w:spacing w:line="600" w:lineRule="exact"/>
        <w:ind w:left="0"/>
        <w:rPr>
          <w:rFonts w:hint="default" w:ascii="Times New Roman" w:hAnsi="Times New Roman" w:eastAsia="楷体_GB2312" w:cs="Times New Roman"/>
          <w:b w:val="0"/>
          <w:bCs/>
          <w:color w:val="auto"/>
          <w:sz w:val="30"/>
          <w:szCs w:val="30"/>
          <w:highlight w:val="none"/>
          <w:u w:val="none"/>
        </w:rPr>
      </w:pPr>
      <w:r>
        <w:rPr>
          <w:rFonts w:hint="default" w:ascii="Times New Roman" w:hAnsi="Times New Roman" w:eastAsia="楷体_GB2312" w:cs="Times New Roman"/>
          <w:b w:val="0"/>
          <w:bCs/>
          <w:color w:val="auto"/>
          <w:sz w:val="30"/>
          <w:szCs w:val="30"/>
          <w:highlight w:val="none"/>
          <w:u w:val="none"/>
        </w:rPr>
        <w:fldChar w:fldCharType="begin"/>
      </w:r>
      <w:r>
        <w:rPr>
          <w:rFonts w:hint="default" w:ascii="Times New Roman" w:hAnsi="Times New Roman" w:eastAsia="楷体_GB2312" w:cs="Times New Roman"/>
          <w:b w:val="0"/>
          <w:bCs/>
          <w:color w:val="auto"/>
          <w:sz w:val="30"/>
          <w:szCs w:val="30"/>
          <w:highlight w:val="none"/>
          <w:u w:val="none"/>
        </w:rPr>
        <w:instrText xml:space="preserve"> HYPERLINK \l _Toc14504 </w:instrText>
      </w:r>
      <w:r>
        <w:rPr>
          <w:rFonts w:hint="default" w:ascii="Times New Roman" w:hAnsi="Times New Roman" w:eastAsia="楷体_GB2312" w:cs="Times New Roman"/>
          <w:b w:val="0"/>
          <w:bCs/>
          <w:color w:val="auto"/>
          <w:sz w:val="30"/>
          <w:szCs w:val="30"/>
          <w:highlight w:val="none"/>
          <w:u w:val="none"/>
        </w:rPr>
        <w:fldChar w:fldCharType="separate"/>
      </w:r>
      <w:r>
        <w:rPr>
          <w:rFonts w:hint="default" w:ascii="Times New Roman" w:hAnsi="Times New Roman" w:eastAsia="楷体_GB2312" w:cs="Times New Roman"/>
          <w:b w:val="0"/>
          <w:bCs/>
          <w:color w:val="auto"/>
          <w:sz w:val="30"/>
          <w:szCs w:val="30"/>
          <w:highlight w:val="none"/>
          <w:u w:val="none"/>
        </w:rPr>
        <w:t>第二节 面临的形势</w:t>
      </w:r>
      <w:r>
        <w:rPr>
          <w:rFonts w:hint="default" w:ascii="Times New Roman" w:hAnsi="Times New Roman" w:eastAsia="楷体_GB2312" w:cs="Times New Roman"/>
          <w:b w:val="0"/>
          <w:bCs/>
          <w:color w:val="auto"/>
          <w:sz w:val="30"/>
          <w:szCs w:val="30"/>
          <w:highlight w:val="none"/>
          <w:u w:val="none"/>
        </w:rPr>
        <w:tab/>
      </w:r>
      <w:r>
        <w:rPr>
          <w:rFonts w:hint="default" w:ascii="Times New Roman" w:hAnsi="Times New Roman" w:eastAsia="楷体_GB2312" w:cs="Times New Roman"/>
          <w:b w:val="0"/>
          <w:bCs/>
          <w:color w:val="auto"/>
          <w:sz w:val="30"/>
          <w:szCs w:val="30"/>
          <w:highlight w:val="none"/>
          <w:u w:val="none"/>
        </w:rPr>
        <w:fldChar w:fldCharType="begin"/>
      </w:r>
      <w:r>
        <w:rPr>
          <w:rFonts w:hint="default" w:ascii="Times New Roman" w:hAnsi="Times New Roman" w:eastAsia="楷体_GB2312" w:cs="Times New Roman"/>
          <w:b w:val="0"/>
          <w:bCs/>
          <w:color w:val="auto"/>
          <w:sz w:val="30"/>
          <w:szCs w:val="30"/>
          <w:highlight w:val="none"/>
          <w:u w:val="none"/>
        </w:rPr>
        <w:instrText xml:space="preserve"> PAGEREF _Toc14504 \h </w:instrText>
      </w:r>
      <w:r>
        <w:rPr>
          <w:rFonts w:hint="default" w:ascii="Times New Roman" w:hAnsi="Times New Roman" w:eastAsia="楷体_GB2312" w:cs="Times New Roman"/>
          <w:b w:val="0"/>
          <w:bCs/>
          <w:color w:val="auto"/>
          <w:sz w:val="30"/>
          <w:szCs w:val="30"/>
          <w:highlight w:val="none"/>
          <w:u w:val="none"/>
        </w:rPr>
        <w:fldChar w:fldCharType="separate"/>
      </w:r>
      <w:r>
        <w:rPr>
          <w:rFonts w:hint="default" w:ascii="Times New Roman" w:hAnsi="Times New Roman" w:eastAsia="楷体_GB2312" w:cs="Times New Roman"/>
          <w:b w:val="0"/>
          <w:bCs/>
          <w:color w:val="auto"/>
          <w:sz w:val="30"/>
          <w:szCs w:val="30"/>
          <w:highlight w:val="none"/>
          <w:u w:val="none"/>
        </w:rPr>
        <w:t>4</w:t>
      </w:r>
      <w:r>
        <w:rPr>
          <w:rFonts w:hint="default" w:ascii="Times New Roman" w:hAnsi="Times New Roman" w:eastAsia="楷体_GB2312" w:cs="Times New Roman"/>
          <w:b w:val="0"/>
          <w:bCs/>
          <w:color w:val="auto"/>
          <w:sz w:val="30"/>
          <w:szCs w:val="30"/>
          <w:highlight w:val="none"/>
          <w:u w:val="none"/>
        </w:rPr>
        <w:fldChar w:fldCharType="end"/>
      </w:r>
      <w:r>
        <w:rPr>
          <w:rFonts w:hint="default" w:ascii="Times New Roman" w:hAnsi="Times New Roman" w:eastAsia="楷体_GB2312" w:cs="Times New Roman"/>
          <w:b w:val="0"/>
          <w:bCs/>
          <w:color w:val="auto"/>
          <w:sz w:val="30"/>
          <w:szCs w:val="30"/>
          <w:highlight w:val="none"/>
          <w:u w:val="none"/>
        </w:rPr>
        <w:fldChar w:fldCharType="end"/>
      </w:r>
    </w:p>
    <w:p>
      <w:pPr>
        <w:pStyle w:val="10"/>
        <w:tabs>
          <w:tab w:val="right" w:leader="dot" w:pos="8732"/>
          <w:tab w:val="clear" w:pos="8948"/>
        </w:tabs>
        <w:spacing w:line="600" w:lineRule="exact"/>
        <w:ind w:left="0" w:leftChars="0"/>
        <w:rPr>
          <w:rFonts w:hint="default" w:ascii="Times New Roman" w:hAnsi="Times New Roman" w:eastAsia="方正小标宋简体" w:cs="Times New Roman"/>
          <w:b w:val="0"/>
          <w:bCs/>
          <w:color w:val="auto"/>
          <w:highlight w:val="none"/>
          <w:u w:val="none"/>
        </w:rPr>
      </w:pPr>
      <w:r>
        <w:rPr>
          <w:rFonts w:hint="default" w:ascii="Times New Roman" w:hAnsi="Times New Roman" w:eastAsia="方正小标宋简体" w:cs="Times New Roman"/>
          <w:b w:val="0"/>
          <w:bCs/>
          <w:color w:val="auto"/>
          <w:szCs w:val="30"/>
          <w:highlight w:val="none"/>
          <w:u w:val="none"/>
        </w:rPr>
        <w:fldChar w:fldCharType="begin"/>
      </w:r>
      <w:r>
        <w:rPr>
          <w:rFonts w:hint="default" w:ascii="Times New Roman" w:hAnsi="Times New Roman" w:eastAsia="方正小标宋简体" w:cs="Times New Roman"/>
          <w:b w:val="0"/>
          <w:bCs/>
          <w:color w:val="auto"/>
          <w:szCs w:val="30"/>
          <w:highlight w:val="none"/>
          <w:u w:val="none"/>
        </w:rPr>
        <w:instrText xml:space="preserve"> HYPERLINK \l _Toc3228 </w:instrText>
      </w:r>
      <w:r>
        <w:rPr>
          <w:rFonts w:hint="default" w:ascii="Times New Roman" w:hAnsi="Times New Roman" w:eastAsia="方正小标宋简体" w:cs="Times New Roman"/>
          <w:b w:val="0"/>
          <w:bCs/>
          <w:color w:val="auto"/>
          <w:szCs w:val="30"/>
          <w:highlight w:val="none"/>
          <w:u w:val="none"/>
        </w:rPr>
        <w:fldChar w:fldCharType="separate"/>
      </w:r>
      <w:r>
        <w:rPr>
          <w:rFonts w:hint="default" w:ascii="Times New Roman" w:hAnsi="Times New Roman" w:eastAsia="方正小标宋简体" w:cs="Times New Roman"/>
          <w:b w:val="0"/>
          <w:bCs/>
          <w:color w:val="auto"/>
          <w:szCs w:val="30"/>
          <w:highlight w:val="none"/>
          <w:u w:val="none"/>
        </w:rPr>
        <w:t>第二章 总体要求</w:t>
      </w:r>
      <w:r>
        <w:rPr>
          <w:rFonts w:hint="default" w:ascii="Times New Roman" w:hAnsi="Times New Roman" w:eastAsia="方正小标宋简体" w:cs="Times New Roman"/>
          <w:b w:val="0"/>
          <w:bCs/>
          <w:color w:val="auto"/>
          <w:highlight w:val="none"/>
          <w:u w:val="none"/>
        </w:rPr>
        <w:tab/>
      </w:r>
      <w:r>
        <w:rPr>
          <w:rFonts w:hint="default" w:ascii="Times New Roman" w:hAnsi="Times New Roman" w:eastAsia="方正小标宋简体" w:cs="Times New Roman"/>
          <w:b w:val="0"/>
          <w:bCs/>
          <w:color w:val="auto"/>
          <w:highlight w:val="none"/>
          <w:u w:val="none"/>
        </w:rPr>
        <w:fldChar w:fldCharType="begin"/>
      </w:r>
      <w:r>
        <w:rPr>
          <w:rFonts w:hint="default" w:ascii="Times New Roman" w:hAnsi="Times New Roman" w:eastAsia="方正小标宋简体" w:cs="Times New Roman"/>
          <w:b w:val="0"/>
          <w:bCs/>
          <w:color w:val="auto"/>
          <w:highlight w:val="none"/>
          <w:u w:val="none"/>
        </w:rPr>
        <w:instrText xml:space="preserve"> PAGEREF _Toc3228 \h </w:instrText>
      </w:r>
      <w:r>
        <w:rPr>
          <w:rFonts w:hint="default" w:ascii="Times New Roman" w:hAnsi="Times New Roman" w:eastAsia="方正小标宋简体" w:cs="Times New Roman"/>
          <w:b w:val="0"/>
          <w:bCs/>
          <w:color w:val="auto"/>
          <w:highlight w:val="none"/>
          <w:u w:val="none"/>
        </w:rPr>
        <w:fldChar w:fldCharType="separate"/>
      </w:r>
      <w:r>
        <w:rPr>
          <w:rFonts w:hint="default" w:ascii="Times New Roman" w:hAnsi="Times New Roman" w:eastAsia="方正小标宋简体" w:cs="Times New Roman"/>
          <w:b w:val="0"/>
          <w:bCs/>
          <w:color w:val="auto"/>
          <w:highlight w:val="none"/>
          <w:u w:val="none"/>
        </w:rPr>
        <w:t>8</w:t>
      </w:r>
      <w:r>
        <w:rPr>
          <w:rFonts w:hint="default" w:ascii="Times New Roman" w:hAnsi="Times New Roman" w:eastAsia="方正小标宋简体" w:cs="Times New Roman"/>
          <w:b w:val="0"/>
          <w:bCs/>
          <w:color w:val="auto"/>
          <w:highlight w:val="none"/>
          <w:u w:val="none"/>
        </w:rPr>
        <w:fldChar w:fldCharType="end"/>
      </w:r>
      <w:r>
        <w:rPr>
          <w:rFonts w:hint="default" w:ascii="Times New Roman" w:hAnsi="Times New Roman" w:eastAsia="方正小标宋简体" w:cs="Times New Roman"/>
          <w:b w:val="0"/>
          <w:bCs/>
          <w:color w:val="auto"/>
          <w:szCs w:val="30"/>
          <w:highlight w:val="none"/>
          <w:u w:val="none"/>
        </w:rPr>
        <w:fldChar w:fldCharType="end"/>
      </w:r>
    </w:p>
    <w:p>
      <w:pPr>
        <w:pStyle w:val="5"/>
        <w:tabs>
          <w:tab w:val="right" w:leader="dot" w:pos="8732"/>
          <w:tab w:val="clear" w:pos="8948"/>
        </w:tabs>
        <w:spacing w:line="600" w:lineRule="exact"/>
        <w:ind w:left="0"/>
        <w:rPr>
          <w:rFonts w:hint="default" w:ascii="Times New Roman" w:hAnsi="Times New Roman" w:eastAsia="楷体_GB2312" w:cs="Times New Roman"/>
          <w:b w:val="0"/>
          <w:bCs/>
          <w:color w:val="auto"/>
          <w:sz w:val="30"/>
          <w:szCs w:val="30"/>
          <w:highlight w:val="none"/>
          <w:u w:val="none"/>
        </w:rPr>
      </w:pPr>
      <w:r>
        <w:rPr>
          <w:rFonts w:hint="default" w:ascii="Times New Roman" w:hAnsi="Times New Roman" w:eastAsia="楷体_GB2312" w:cs="Times New Roman"/>
          <w:b w:val="0"/>
          <w:bCs/>
          <w:color w:val="auto"/>
          <w:sz w:val="30"/>
          <w:szCs w:val="30"/>
          <w:highlight w:val="none"/>
          <w:u w:val="none"/>
        </w:rPr>
        <w:fldChar w:fldCharType="begin"/>
      </w:r>
      <w:r>
        <w:rPr>
          <w:rFonts w:hint="default" w:ascii="Times New Roman" w:hAnsi="Times New Roman" w:eastAsia="楷体_GB2312" w:cs="Times New Roman"/>
          <w:b w:val="0"/>
          <w:bCs/>
          <w:color w:val="auto"/>
          <w:sz w:val="30"/>
          <w:szCs w:val="30"/>
          <w:highlight w:val="none"/>
          <w:u w:val="none"/>
        </w:rPr>
        <w:instrText xml:space="preserve"> HYPERLINK \l _Toc22951 </w:instrText>
      </w:r>
      <w:r>
        <w:rPr>
          <w:rFonts w:hint="default" w:ascii="Times New Roman" w:hAnsi="Times New Roman" w:eastAsia="楷体_GB2312" w:cs="Times New Roman"/>
          <w:b w:val="0"/>
          <w:bCs/>
          <w:color w:val="auto"/>
          <w:sz w:val="30"/>
          <w:szCs w:val="30"/>
          <w:highlight w:val="none"/>
          <w:u w:val="none"/>
        </w:rPr>
        <w:fldChar w:fldCharType="separate"/>
      </w:r>
      <w:r>
        <w:rPr>
          <w:rFonts w:hint="default" w:ascii="Times New Roman" w:hAnsi="Times New Roman" w:eastAsia="楷体_GB2312" w:cs="Times New Roman"/>
          <w:b w:val="0"/>
          <w:bCs/>
          <w:color w:val="auto"/>
          <w:sz w:val="30"/>
          <w:szCs w:val="30"/>
          <w:highlight w:val="none"/>
          <w:u w:val="none"/>
        </w:rPr>
        <w:t>第一节 指导思想</w:t>
      </w:r>
      <w:r>
        <w:rPr>
          <w:rFonts w:hint="default" w:ascii="Times New Roman" w:hAnsi="Times New Roman" w:eastAsia="楷体_GB2312" w:cs="Times New Roman"/>
          <w:b w:val="0"/>
          <w:bCs/>
          <w:color w:val="auto"/>
          <w:sz w:val="30"/>
          <w:szCs w:val="30"/>
          <w:highlight w:val="none"/>
          <w:u w:val="none"/>
        </w:rPr>
        <w:tab/>
      </w:r>
      <w:r>
        <w:rPr>
          <w:rFonts w:hint="default" w:ascii="Times New Roman" w:hAnsi="Times New Roman" w:eastAsia="楷体_GB2312" w:cs="Times New Roman"/>
          <w:b w:val="0"/>
          <w:bCs/>
          <w:color w:val="auto"/>
          <w:sz w:val="30"/>
          <w:szCs w:val="30"/>
          <w:highlight w:val="none"/>
          <w:u w:val="none"/>
        </w:rPr>
        <w:fldChar w:fldCharType="begin"/>
      </w:r>
      <w:r>
        <w:rPr>
          <w:rFonts w:hint="default" w:ascii="Times New Roman" w:hAnsi="Times New Roman" w:eastAsia="楷体_GB2312" w:cs="Times New Roman"/>
          <w:b w:val="0"/>
          <w:bCs/>
          <w:color w:val="auto"/>
          <w:sz w:val="30"/>
          <w:szCs w:val="30"/>
          <w:highlight w:val="none"/>
          <w:u w:val="none"/>
        </w:rPr>
        <w:instrText xml:space="preserve"> PAGEREF _Toc22951 \h </w:instrText>
      </w:r>
      <w:r>
        <w:rPr>
          <w:rFonts w:hint="default" w:ascii="Times New Roman" w:hAnsi="Times New Roman" w:eastAsia="楷体_GB2312" w:cs="Times New Roman"/>
          <w:b w:val="0"/>
          <w:bCs/>
          <w:color w:val="auto"/>
          <w:sz w:val="30"/>
          <w:szCs w:val="30"/>
          <w:highlight w:val="none"/>
          <w:u w:val="none"/>
        </w:rPr>
        <w:fldChar w:fldCharType="separate"/>
      </w:r>
      <w:r>
        <w:rPr>
          <w:rFonts w:hint="default" w:ascii="Times New Roman" w:hAnsi="Times New Roman" w:eastAsia="楷体_GB2312" w:cs="Times New Roman"/>
          <w:b w:val="0"/>
          <w:bCs/>
          <w:color w:val="auto"/>
          <w:sz w:val="30"/>
          <w:szCs w:val="30"/>
          <w:highlight w:val="none"/>
          <w:u w:val="none"/>
        </w:rPr>
        <w:t>8</w:t>
      </w:r>
      <w:r>
        <w:rPr>
          <w:rFonts w:hint="default" w:ascii="Times New Roman" w:hAnsi="Times New Roman" w:eastAsia="楷体_GB2312" w:cs="Times New Roman"/>
          <w:b w:val="0"/>
          <w:bCs/>
          <w:color w:val="auto"/>
          <w:sz w:val="30"/>
          <w:szCs w:val="30"/>
          <w:highlight w:val="none"/>
          <w:u w:val="none"/>
        </w:rPr>
        <w:fldChar w:fldCharType="end"/>
      </w:r>
      <w:r>
        <w:rPr>
          <w:rFonts w:hint="default" w:ascii="Times New Roman" w:hAnsi="Times New Roman" w:eastAsia="楷体_GB2312" w:cs="Times New Roman"/>
          <w:b w:val="0"/>
          <w:bCs/>
          <w:color w:val="auto"/>
          <w:sz w:val="30"/>
          <w:szCs w:val="30"/>
          <w:highlight w:val="none"/>
          <w:u w:val="none"/>
        </w:rPr>
        <w:fldChar w:fldCharType="end"/>
      </w:r>
    </w:p>
    <w:p>
      <w:pPr>
        <w:pStyle w:val="5"/>
        <w:tabs>
          <w:tab w:val="right" w:leader="dot" w:pos="8732"/>
          <w:tab w:val="clear" w:pos="8948"/>
        </w:tabs>
        <w:spacing w:line="600" w:lineRule="exact"/>
        <w:ind w:left="0"/>
        <w:rPr>
          <w:rFonts w:hint="default" w:ascii="Times New Roman" w:hAnsi="Times New Roman" w:eastAsia="楷体_GB2312" w:cs="Times New Roman"/>
          <w:b w:val="0"/>
          <w:bCs/>
          <w:color w:val="auto"/>
          <w:sz w:val="30"/>
          <w:szCs w:val="30"/>
          <w:highlight w:val="none"/>
          <w:u w:val="none"/>
        </w:rPr>
      </w:pPr>
      <w:r>
        <w:rPr>
          <w:rFonts w:hint="default" w:ascii="Times New Roman" w:hAnsi="Times New Roman" w:eastAsia="楷体_GB2312" w:cs="Times New Roman"/>
          <w:b w:val="0"/>
          <w:bCs/>
          <w:color w:val="auto"/>
          <w:sz w:val="30"/>
          <w:szCs w:val="30"/>
          <w:highlight w:val="none"/>
          <w:u w:val="none"/>
        </w:rPr>
        <w:fldChar w:fldCharType="begin"/>
      </w:r>
      <w:r>
        <w:rPr>
          <w:rFonts w:hint="default" w:ascii="Times New Roman" w:hAnsi="Times New Roman" w:eastAsia="楷体_GB2312" w:cs="Times New Roman"/>
          <w:b w:val="0"/>
          <w:bCs/>
          <w:color w:val="auto"/>
          <w:sz w:val="30"/>
          <w:szCs w:val="30"/>
          <w:highlight w:val="none"/>
          <w:u w:val="none"/>
        </w:rPr>
        <w:instrText xml:space="preserve"> HYPERLINK \l _Toc12849 </w:instrText>
      </w:r>
      <w:r>
        <w:rPr>
          <w:rFonts w:hint="default" w:ascii="Times New Roman" w:hAnsi="Times New Roman" w:eastAsia="楷体_GB2312" w:cs="Times New Roman"/>
          <w:b w:val="0"/>
          <w:bCs/>
          <w:color w:val="auto"/>
          <w:sz w:val="30"/>
          <w:szCs w:val="30"/>
          <w:highlight w:val="none"/>
          <w:u w:val="none"/>
        </w:rPr>
        <w:fldChar w:fldCharType="separate"/>
      </w:r>
      <w:r>
        <w:rPr>
          <w:rFonts w:hint="default" w:ascii="Times New Roman" w:hAnsi="Times New Roman" w:eastAsia="楷体_GB2312" w:cs="Times New Roman"/>
          <w:b w:val="0"/>
          <w:bCs/>
          <w:color w:val="auto"/>
          <w:sz w:val="30"/>
          <w:szCs w:val="30"/>
          <w:highlight w:val="none"/>
          <w:u w:val="none"/>
        </w:rPr>
        <w:t>第二节 基本原则</w:t>
      </w:r>
      <w:r>
        <w:rPr>
          <w:rFonts w:hint="default" w:ascii="Times New Roman" w:hAnsi="Times New Roman" w:eastAsia="楷体_GB2312" w:cs="Times New Roman"/>
          <w:b w:val="0"/>
          <w:bCs/>
          <w:color w:val="auto"/>
          <w:sz w:val="30"/>
          <w:szCs w:val="30"/>
          <w:highlight w:val="none"/>
          <w:u w:val="none"/>
        </w:rPr>
        <w:tab/>
      </w:r>
      <w:r>
        <w:rPr>
          <w:rFonts w:hint="default" w:ascii="Times New Roman" w:hAnsi="Times New Roman" w:eastAsia="楷体_GB2312" w:cs="Times New Roman"/>
          <w:b w:val="0"/>
          <w:bCs/>
          <w:color w:val="auto"/>
          <w:sz w:val="30"/>
          <w:szCs w:val="30"/>
          <w:highlight w:val="none"/>
          <w:u w:val="none"/>
        </w:rPr>
        <w:fldChar w:fldCharType="begin"/>
      </w:r>
      <w:r>
        <w:rPr>
          <w:rFonts w:hint="default" w:ascii="Times New Roman" w:hAnsi="Times New Roman" w:eastAsia="楷体_GB2312" w:cs="Times New Roman"/>
          <w:b w:val="0"/>
          <w:bCs/>
          <w:color w:val="auto"/>
          <w:sz w:val="30"/>
          <w:szCs w:val="30"/>
          <w:highlight w:val="none"/>
          <w:u w:val="none"/>
        </w:rPr>
        <w:instrText xml:space="preserve"> PAGEREF _Toc12849 \h </w:instrText>
      </w:r>
      <w:r>
        <w:rPr>
          <w:rFonts w:hint="default" w:ascii="Times New Roman" w:hAnsi="Times New Roman" w:eastAsia="楷体_GB2312" w:cs="Times New Roman"/>
          <w:b w:val="0"/>
          <w:bCs/>
          <w:color w:val="auto"/>
          <w:sz w:val="30"/>
          <w:szCs w:val="30"/>
          <w:highlight w:val="none"/>
          <w:u w:val="none"/>
        </w:rPr>
        <w:fldChar w:fldCharType="separate"/>
      </w:r>
      <w:r>
        <w:rPr>
          <w:rFonts w:hint="default" w:ascii="Times New Roman" w:hAnsi="Times New Roman" w:eastAsia="楷体_GB2312" w:cs="Times New Roman"/>
          <w:b w:val="0"/>
          <w:bCs/>
          <w:color w:val="auto"/>
          <w:sz w:val="30"/>
          <w:szCs w:val="30"/>
          <w:highlight w:val="none"/>
          <w:u w:val="none"/>
        </w:rPr>
        <w:t>8</w:t>
      </w:r>
      <w:r>
        <w:rPr>
          <w:rFonts w:hint="default" w:ascii="Times New Roman" w:hAnsi="Times New Roman" w:eastAsia="楷体_GB2312" w:cs="Times New Roman"/>
          <w:b w:val="0"/>
          <w:bCs/>
          <w:color w:val="auto"/>
          <w:sz w:val="30"/>
          <w:szCs w:val="30"/>
          <w:highlight w:val="none"/>
          <w:u w:val="none"/>
        </w:rPr>
        <w:fldChar w:fldCharType="end"/>
      </w:r>
      <w:r>
        <w:rPr>
          <w:rFonts w:hint="default" w:ascii="Times New Roman" w:hAnsi="Times New Roman" w:eastAsia="楷体_GB2312" w:cs="Times New Roman"/>
          <w:b w:val="0"/>
          <w:bCs/>
          <w:color w:val="auto"/>
          <w:sz w:val="30"/>
          <w:szCs w:val="30"/>
          <w:highlight w:val="none"/>
          <w:u w:val="none"/>
        </w:rPr>
        <w:fldChar w:fldCharType="end"/>
      </w:r>
    </w:p>
    <w:p>
      <w:pPr>
        <w:pStyle w:val="5"/>
        <w:tabs>
          <w:tab w:val="right" w:leader="dot" w:pos="8732"/>
          <w:tab w:val="clear" w:pos="8948"/>
        </w:tabs>
        <w:spacing w:line="600" w:lineRule="exact"/>
        <w:ind w:left="0"/>
        <w:rPr>
          <w:rFonts w:hint="default" w:ascii="Times New Roman" w:hAnsi="Times New Roman" w:eastAsia="楷体_GB2312" w:cs="Times New Roman"/>
          <w:b w:val="0"/>
          <w:bCs/>
          <w:color w:val="auto"/>
          <w:sz w:val="30"/>
          <w:szCs w:val="30"/>
          <w:highlight w:val="none"/>
          <w:u w:val="none"/>
        </w:rPr>
      </w:pPr>
      <w:r>
        <w:rPr>
          <w:rFonts w:hint="default" w:ascii="Times New Roman" w:hAnsi="Times New Roman" w:eastAsia="楷体_GB2312" w:cs="Times New Roman"/>
          <w:b w:val="0"/>
          <w:bCs/>
          <w:color w:val="auto"/>
          <w:sz w:val="30"/>
          <w:szCs w:val="30"/>
          <w:highlight w:val="none"/>
          <w:u w:val="none"/>
        </w:rPr>
        <w:fldChar w:fldCharType="begin"/>
      </w:r>
      <w:r>
        <w:rPr>
          <w:rFonts w:hint="default" w:ascii="Times New Roman" w:hAnsi="Times New Roman" w:eastAsia="楷体_GB2312" w:cs="Times New Roman"/>
          <w:b w:val="0"/>
          <w:bCs/>
          <w:color w:val="auto"/>
          <w:sz w:val="30"/>
          <w:szCs w:val="30"/>
          <w:highlight w:val="none"/>
          <w:u w:val="none"/>
        </w:rPr>
        <w:instrText xml:space="preserve"> HYPERLINK \l _Toc6530 </w:instrText>
      </w:r>
      <w:r>
        <w:rPr>
          <w:rFonts w:hint="default" w:ascii="Times New Roman" w:hAnsi="Times New Roman" w:eastAsia="楷体_GB2312" w:cs="Times New Roman"/>
          <w:b w:val="0"/>
          <w:bCs/>
          <w:color w:val="auto"/>
          <w:sz w:val="30"/>
          <w:szCs w:val="30"/>
          <w:highlight w:val="none"/>
          <w:u w:val="none"/>
        </w:rPr>
        <w:fldChar w:fldCharType="separate"/>
      </w:r>
      <w:r>
        <w:rPr>
          <w:rFonts w:hint="default" w:ascii="Times New Roman" w:hAnsi="Times New Roman" w:eastAsia="楷体_GB2312" w:cs="Times New Roman"/>
          <w:b w:val="0"/>
          <w:bCs/>
          <w:color w:val="auto"/>
          <w:sz w:val="30"/>
          <w:szCs w:val="30"/>
          <w:highlight w:val="none"/>
          <w:u w:val="none"/>
        </w:rPr>
        <w:t>第三节 主要目标</w:t>
      </w:r>
      <w:r>
        <w:rPr>
          <w:rFonts w:hint="default" w:ascii="Times New Roman" w:hAnsi="Times New Roman" w:eastAsia="楷体_GB2312" w:cs="Times New Roman"/>
          <w:b w:val="0"/>
          <w:bCs/>
          <w:color w:val="auto"/>
          <w:sz w:val="30"/>
          <w:szCs w:val="30"/>
          <w:highlight w:val="none"/>
          <w:u w:val="none"/>
        </w:rPr>
        <w:tab/>
      </w:r>
      <w:r>
        <w:rPr>
          <w:rFonts w:hint="default" w:ascii="Times New Roman" w:hAnsi="Times New Roman" w:eastAsia="楷体_GB2312" w:cs="Times New Roman"/>
          <w:b w:val="0"/>
          <w:bCs/>
          <w:color w:val="auto"/>
          <w:sz w:val="30"/>
          <w:szCs w:val="30"/>
          <w:highlight w:val="none"/>
          <w:u w:val="none"/>
        </w:rPr>
        <w:fldChar w:fldCharType="begin"/>
      </w:r>
      <w:r>
        <w:rPr>
          <w:rFonts w:hint="default" w:ascii="Times New Roman" w:hAnsi="Times New Roman" w:eastAsia="楷体_GB2312" w:cs="Times New Roman"/>
          <w:b w:val="0"/>
          <w:bCs/>
          <w:color w:val="auto"/>
          <w:sz w:val="30"/>
          <w:szCs w:val="30"/>
          <w:highlight w:val="none"/>
          <w:u w:val="none"/>
        </w:rPr>
        <w:instrText xml:space="preserve"> PAGEREF _Toc6530 \h </w:instrText>
      </w:r>
      <w:r>
        <w:rPr>
          <w:rFonts w:hint="default" w:ascii="Times New Roman" w:hAnsi="Times New Roman" w:eastAsia="楷体_GB2312" w:cs="Times New Roman"/>
          <w:b w:val="0"/>
          <w:bCs/>
          <w:color w:val="auto"/>
          <w:sz w:val="30"/>
          <w:szCs w:val="30"/>
          <w:highlight w:val="none"/>
          <w:u w:val="none"/>
        </w:rPr>
        <w:fldChar w:fldCharType="separate"/>
      </w:r>
      <w:r>
        <w:rPr>
          <w:rFonts w:hint="default" w:ascii="Times New Roman" w:hAnsi="Times New Roman" w:eastAsia="楷体_GB2312" w:cs="Times New Roman"/>
          <w:b w:val="0"/>
          <w:bCs/>
          <w:color w:val="auto"/>
          <w:sz w:val="30"/>
          <w:szCs w:val="30"/>
          <w:highlight w:val="none"/>
          <w:u w:val="none"/>
        </w:rPr>
        <w:t>9</w:t>
      </w:r>
      <w:r>
        <w:rPr>
          <w:rFonts w:hint="default" w:ascii="Times New Roman" w:hAnsi="Times New Roman" w:eastAsia="楷体_GB2312" w:cs="Times New Roman"/>
          <w:b w:val="0"/>
          <w:bCs/>
          <w:color w:val="auto"/>
          <w:sz w:val="30"/>
          <w:szCs w:val="30"/>
          <w:highlight w:val="none"/>
          <w:u w:val="none"/>
        </w:rPr>
        <w:fldChar w:fldCharType="end"/>
      </w:r>
      <w:r>
        <w:rPr>
          <w:rFonts w:hint="default" w:ascii="Times New Roman" w:hAnsi="Times New Roman" w:eastAsia="楷体_GB2312" w:cs="Times New Roman"/>
          <w:b w:val="0"/>
          <w:bCs/>
          <w:color w:val="auto"/>
          <w:sz w:val="30"/>
          <w:szCs w:val="30"/>
          <w:highlight w:val="none"/>
          <w:u w:val="none"/>
        </w:rPr>
        <w:fldChar w:fldCharType="end"/>
      </w:r>
    </w:p>
    <w:p>
      <w:pPr>
        <w:pStyle w:val="10"/>
        <w:tabs>
          <w:tab w:val="right" w:leader="dot" w:pos="8732"/>
          <w:tab w:val="clear" w:pos="8948"/>
        </w:tabs>
        <w:spacing w:line="600" w:lineRule="exact"/>
        <w:ind w:left="0" w:leftChars="0"/>
        <w:rPr>
          <w:rFonts w:hint="default" w:ascii="Times New Roman" w:hAnsi="Times New Roman" w:eastAsia="方正小标宋简体" w:cs="Times New Roman"/>
          <w:b w:val="0"/>
          <w:bCs/>
          <w:color w:val="auto"/>
          <w:highlight w:val="none"/>
          <w:u w:val="none"/>
        </w:rPr>
      </w:pPr>
      <w:r>
        <w:rPr>
          <w:rFonts w:hint="default" w:ascii="Times New Roman" w:hAnsi="Times New Roman" w:eastAsia="方正小标宋简体" w:cs="Times New Roman"/>
          <w:b w:val="0"/>
          <w:bCs/>
          <w:color w:val="auto"/>
          <w:szCs w:val="30"/>
          <w:highlight w:val="none"/>
          <w:u w:val="none"/>
        </w:rPr>
        <w:fldChar w:fldCharType="begin"/>
      </w:r>
      <w:r>
        <w:rPr>
          <w:rFonts w:hint="default" w:ascii="Times New Roman" w:hAnsi="Times New Roman" w:eastAsia="方正小标宋简体" w:cs="Times New Roman"/>
          <w:b w:val="0"/>
          <w:bCs/>
          <w:color w:val="auto"/>
          <w:szCs w:val="30"/>
          <w:highlight w:val="none"/>
          <w:u w:val="none"/>
        </w:rPr>
        <w:instrText xml:space="preserve"> HYPERLINK \l _Toc16629 </w:instrText>
      </w:r>
      <w:r>
        <w:rPr>
          <w:rFonts w:hint="default" w:ascii="Times New Roman" w:hAnsi="Times New Roman" w:eastAsia="方正小标宋简体" w:cs="Times New Roman"/>
          <w:b w:val="0"/>
          <w:bCs/>
          <w:color w:val="auto"/>
          <w:szCs w:val="30"/>
          <w:highlight w:val="none"/>
          <w:u w:val="none"/>
        </w:rPr>
        <w:fldChar w:fldCharType="separate"/>
      </w:r>
      <w:r>
        <w:rPr>
          <w:rFonts w:hint="default" w:ascii="Times New Roman" w:hAnsi="Times New Roman" w:eastAsia="方正小标宋简体" w:cs="Times New Roman"/>
          <w:b w:val="0"/>
          <w:bCs/>
          <w:color w:val="auto"/>
          <w:szCs w:val="30"/>
          <w:highlight w:val="none"/>
          <w:u w:val="none"/>
        </w:rPr>
        <w:t>第三章 完善待遇保障机制</w:t>
      </w:r>
      <w:r>
        <w:rPr>
          <w:rFonts w:hint="default" w:ascii="Times New Roman" w:hAnsi="Times New Roman" w:eastAsia="方正小标宋简体" w:cs="Times New Roman"/>
          <w:b w:val="0"/>
          <w:bCs/>
          <w:color w:val="auto"/>
          <w:highlight w:val="none"/>
          <w:u w:val="none"/>
        </w:rPr>
        <w:tab/>
      </w:r>
      <w:r>
        <w:rPr>
          <w:rFonts w:hint="default" w:ascii="Times New Roman" w:hAnsi="Times New Roman" w:eastAsia="方正小标宋简体" w:cs="Times New Roman"/>
          <w:b w:val="0"/>
          <w:bCs/>
          <w:color w:val="auto"/>
          <w:highlight w:val="none"/>
          <w:u w:val="none"/>
        </w:rPr>
        <w:fldChar w:fldCharType="begin"/>
      </w:r>
      <w:r>
        <w:rPr>
          <w:rFonts w:hint="default" w:ascii="Times New Roman" w:hAnsi="Times New Roman" w:eastAsia="方正小标宋简体" w:cs="Times New Roman"/>
          <w:b w:val="0"/>
          <w:bCs/>
          <w:color w:val="auto"/>
          <w:highlight w:val="none"/>
          <w:u w:val="none"/>
        </w:rPr>
        <w:instrText xml:space="preserve"> PAGEREF _Toc16629 \h </w:instrText>
      </w:r>
      <w:r>
        <w:rPr>
          <w:rFonts w:hint="default" w:ascii="Times New Roman" w:hAnsi="Times New Roman" w:eastAsia="方正小标宋简体" w:cs="Times New Roman"/>
          <w:b w:val="0"/>
          <w:bCs/>
          <w:color w:val="auto"/>
          <w:highlight w:val="none"/>
          <w:u w:val="none"/>
        </w:rPr>
        <w:fldChar w:fldCharType="separate"/>
      </w:r>
      <w:r>
        <w:rPr>
          <w:rFonts w:hint="default" w:ascii="Times New Roman" w:hAnsi="Times New Roman" w:eastAsia="方正小标宋简体" w:cs="Times New Roman"/>
          <w:b w:val="0"/>
          <w:bCs/>
          <w:color w:val="auto"/>
          <w:highlight w:val="none"/>
          <w:u w:val="none"/>
        </w:rPr>
        <w:t>14</w:t>
      </w:r>
      <w:r>
        <w:rPr>
          <w:rFonts w:hint="default" w:ascii="Times New Roman" w:hAnsi="Times New Roman" w:eastAsia="方正小标宋简体" w:cs="Times New Roman"/>
          <w:b w:val="0"/>
          <w:bCs/>
          <w:color w:val="auto"/>
          <w:highlight w:val="none"/>
          <w:u w:val="none"/>
        </w:rPr>
        <w:fldChar w:fldCharType="end"/>
      </w:r>
      <w:r>
        <w:rPr>
          <w:rFonts w:hint="default" w:ascii="Times New Roman" w:hAnsi="Times New Roman" w:eastAsia="方正小标宋简体" w:cs="Times New Roman"/>
          <w:b w:val="0"/>
          <w:bCs/>
          <w:color w:val="auto"/>
          <w:szCs w:val="30"/>
          <w:highlight w:val="none"/>
          <w:u w:val="none"/>
        </w:rPr>
        <w:fldChar w:fldCharType="end"/>
      </w:r>
    </w:p>
    <w:p>
      <w:pPr>
        <w:pStyle w:val="5"/>
        <w:tabs>
          <w:tab w:val="right" w:leader="dot" w:pos="8732"/>
          <w:tab w:val="clear" w:pos="8948"/>
        </w:tabs>
        <w:spacing w:line="600" w:lineRule="exact"/>
        <w:ind w:left="0"/>
        <w:rPr>
          <w:rFonts w:hint="default" w:ascii="Times New Roman" w:hAnsi="Times New Roman" w:eastAsia="楷体_GB2312" w:cs="Times New Roman"/>
          <w:b w:val="0"/>
          <w:bCs/>
          <w:color w:val="auto"/>
          <w:sz w:val="30"/>
          <w:szCs w:val="30"/>
          <w:highlight w:val="none"/>
          <w:u w:val="none"/>
        </w:rPr>
      </w:pPr>
      <w:r>
        <w:rPr>
          <w:rFonts w:hint="default" w:ascii="Times New Roman" w:hAnsi="Times New Roman" w:eastAsia="楷体_GB2312" w:cs="Times New Roman"/>
          <w:b w:val="0"/>
          <w:bCs/>
          <w:color w:val="auto"/>
          <w:sz w:val="30"/>
          <w:szCs w:val="30"/>
          <w:highlight w:val="none"/>
          <w:u w:val="none"/>
        </w:rPr>
        <w:fldChar w:fldCharType="begin"/>
      </w:r>
      <w:r>
        <w:rPr>
          <w:rFonts w:hint="default" w:ascii="Times New Roman" w:hAnsi="Times New Roman" w:eastAsia="楷体_GB2312" w:cs="Times New Roman"/>
          <w:b w:val="0"/>
          <w:bCs/>
          <w:color w:val="auto"/>
          <w:sz w:val="30"/>
          <w:szCs w:val="30"/>
          <w:highlight w:val="none"/>
          <w:u w:val="none"/>
        </w:rPr>
        <w:instrText xml:space="preserve"> HYPERLINK \l _Toc25051 </w:instrText>
      </w:r>
      <w:r>
        <w:rPr>
          <w:rFonts w:hint="default" w:ascii="Times New Roman" w:hAnsi="Times New Roman" w:eastAsia="楷体_GB2312" w:cs="Times New Roman"/>
          <w:b w:val="0"/>
          <w:bCs/>
          <w:color w:val="auto"/>
          <w:sz w:val="30"/>
          <w:szCs w:val="30"/>
          <w:highlight w:val="none"/>
          <w:u w:val="none"/>
        </w:rPr>
        <w:fldChar w:fldCharType="separate"/>
      </w:r>
      <w:r>
        <w:rPr>
          <w:rFonts w:hint="default" w:ascii="Times New Roman" w:hAnsi="Times New Roman" w:eastAsia="楷体_GB2312" w:cs="Times New Roman"/>
          <w:b w:val="0"/>
          <w:bCs/>
          <w:color w:val="auto"/>
          <w:sz w:val="30"/>
          <w:szCs w:val="30"/>
          <w:highlight w:val="none"/>
          <w:u w:val="none"/>
        </w:rPr>
        <w:t>第一节 完善基本医疗保险制度</w:t>
      </w:r>
      <w:r>
        <w:rPr>
          <w:rFonts w:hint="default" w:ascii="Times New Roman" w:hAnsi="Times New Roman" w:eastAsia="楷体_GB2312" w:cs="Times New Roman"/>
          <w:b w:val="0"/>
          <w:bCs/>
          <w:color w:val="auto"/>
          <w:sz w:val="30"/>
          <w:szCs w:val="30"/>
          <w:highlight w:val="none"/>
          <w:u w:val="none"/>
        </w:rPr>
        <w:tab/>
      </w:r>
      <w:r>
        <w:rPr>
          <w:rFonts w:hint="default" w:ascii="Times New Roman" w:hAnsi="Times New Roman" w:eastAsia="楷体_GB2312" w:cs="Times New Roman"/>
          <w:b w:val="0"/>
          <w:bCs/>
          <w:color w:val="auto"/>
          <w:sz w:val="30"/>
          <w:szCs w:val="30"/>
          <w:highlight w:val="none"/>
          <w:u w:val="none"/>
        </w:rPr>
        <w:fldChar w:fldCharType="begin"/>
      </w:r>
      <w:r>
        <w:rPr>
          <w:rFonts w:hint="default" w:ascii="Times New Roman" w:hAnsi="Times New Roman" w:eastAsia="楷体_GB2312" w:cs="Times New Roman"/>
          <w:b w:val="0"/>
          <w:bCs/>
          <w:color w:val="auto"/>
          <w:sz w:val="30"/>
          <w:szCs w:val="30"/>
          <w:highlight w:val="none"/>
          <w:u w:val="none"/>
        </w:rPr>
        <w:instrText xml:space="preserve"> PAGEREF _Toc25051 \h </w:instrText>
      </w:r>
      <w:r>
        <w:rPr>
          <w:rFonts w:hint="default" w:ascii="Times New Roman" w:hAnsi="Times New Roman" w:eastAsia="楷体_GB2312" w:cs="Times New Roman"/>
          <w:b w:val="0"/>
          <w:bCs/>
          <w:color w:val="auto"/>
          <w:sz w:val="30"/>
          <w:szCs w:val="30"/>
          <w:highlight w:val="none"/>
          <w:u w:val="none"/>
        </w:rPr>
        <w:fldChar w:fldCharType="separate"/>
      </w:r>
      <w:r>
        <w:rPr>
          <w:rFonts w:hint="default" w:ascii="Times New Roman" w:hAnsi="Times New Roman" w:eastAsia="楷体_GB2312" w:cs="Times New Roman"/>
          <w:b w:val="0"/>
          <w:bCs/>
          <w:color w:val="auto"/>
          <w:sz w:val="30"/>
          <w:szCs w:val="30"/>
          <w:highlight w:val="none"/>
          <w:u w:val="none"/>
        </w:rPr>
        <w:t>14</w:t>
      </w:r>
      <w:r>
        <w:rPr>
          <w:rFonts w:hint="default" w:ascii="Times New Roman" w:hAnsi="Times New Roman" w:eastAsia="楷体_GB2312" w:cs="Times New Roman"/>
          <w:b w:val="0"/>
          <w:bCs/>
          <w:color w:val="auto"/>
          <w:sz w:val="30"/>
          <w:szCs w:val="30"/>
          <w:highlight w:val="none"/>
          <w:u w:val="none"/>
        </w:rPr>
        <w:fldChar w:fldCharType="end"/>
      </w:r>
      <w:r>
        <w:rPr>
          <w:rFonts w:hint="default" w:ascii="Times New Roman" w:hAnsi="Times New Roman" w:eastAsia="楷体_GB2312" w:cs="Times New Roman"/>
          <w:b w:val="0"/>
          <w:bCs/>
          <w:color w:val="auto"/>
          <w:sz w:val="30"/>
          <w:szCs w:val="30"/>
          <w:highlight w:val="none"/>
          <w:u w:val="none"/>
        </w:rPr>
        <w:fldChar w:fldCharType="end"/>
      </w:r>
    </w:p>
    <w:p>
      <w:pPr>
        <w:pStyle w:val="5"/>
        <w:tabs>
          <w:tab w:val="right" w:leader="dot" w:pos="8732"/>
          <w:tab w:val="clear" w:pos="8948"/>
        </w:tabs>
        <w:spacing w:line="600" w:lineRule="exact"/>
        <w:ind w:left="0"/>
        <w:rPr>
          <w:rFonts w:hint="default" w:ascii="Times New Roman" w:hAnsi="Times New Roman" w:eastAsia="楷体_GB2312" w:cs="Times New Roman"/>
          <w:b w:val="0"/>
          <w:bCs/>
          <w:color w:val="auto"/>
          <w:sz w:val="30"/>
          <w:szCs w:val="30"/>
          <w:highlight w:val="none"/>
          <w:u w:val="none"/>
        </w:rPr>
      </w:pPr>
      <w:r>
        <w:rPr>
          <w:rFonts w:hint="default" w:ascii="Times New Roman" w:hAnsi="Times New Roman" w:eastAsia="楷体_GB2312" w:cs="Times New Roman"/>
          <w:b w:val="0"/>
          <w:bCs/>
          <w:color w:val="auto"/>
          <w:sz w:val="30"/>
          <w:szCs w:val="30"/>
          <w:highlight w:val="none"/>
          <w:u w:val="none"/>
        </w:rPr>
        <w:fldChar w:fldCharType="begin"/>
      </w:r>
      <w:r>
        <w:rPr>
          <w:rFonts w:hint="default" w:ascii="Times New Roman" w:hAnsi="Times New Roman" w:eastAsia="楷体_GB2312" w:cs="Times New Roman"/>
          <w:b w:val="0"/>
          <w:bCs/>
          <w:color w:val="auto"/>
          <w:sz w:val="30"/>
          <w:szCs w:val="30"/>
          <w:highlight w:val="none"/>
          <w:u w:val="none"/>
        </w:rPr>
        <w:instrText xml:space="preserve"> HYPERLINK \l _Toc27416 </w:instrText>
      </w:r>
      <w:r>
        <w:rPr>
          <w:rFonts w:hint="default" w:ascii="Times New Roman" w:hAnsi="Times New Roman" w:eastAsia="楷体_GB2312" w:cs="Times New Roman"/>
          <w:b w:val="0"/>
          <w:bCs/>
          <w:color w:val="auto"/>
          <w:sz w:val="30"/>
          <w:szCs w:val="30"/>
          <w:highlight w:val="none"/>
          <w:u w:val="none"/>
        </w:rPr>
        <w:fldChar w:fldCharType="separate"/>
      </w:r>
      <w:r>
        <w:rPr>
          <w:rFonts w:hint="default" w:ascii="Times New Roman" w:hAnsi="Times New Roman" w:eastAsia="楷体_GB2312" w:cs="Times New Roman"/>
          <w:b w:val="0"/>
          <w:bCs/>
          <w:color w:val="auto"/>
          <w:sz w:val="30"/>
          <w:szCs w:val="30"/>
          <w:highlight w:val="none"/>
          <w:u w:val="none"/>
        </w:rPr>
        <w:t>第二节 完善多层次医疗保障体系</w:t>
      </w:r>
      <w:r>
        <w:rPr>
          <w:rFonts w:hint="default" w:ascii="Times New Roman" w:hAnsi="Times New Roman" w:eastAsia="楷体_GB2312" w:cs="Times New Roman"/>
          <w:b w:val="0"/>
          <w:bCs/>
          <w:color w:val="auto"/>
          <w:sz w:val="30"/>
          <w:szCs w:val="30"/>
          <w:highlight w:val="none"/>
          <w:u w:val="none"/>
        </w:rPr>
        <w:tab/>
      </w:r>
      <w:r>
        <w:rPr>
          <w:rFonts w:hint="default" w:ascii="Times New Roman" w:hAnsi="Times New Roman" w:eastAsia="楷体_GB2312" w:cs="Times New Roman"/>
          <w:b w:val="0"/>
          <w:bCs/>
          <w:color w:val="auto"/>
          <w:sz w:val="30"/>
          <w:szCs w:val="30"/>
          <w:highlight w:val="none"/>
          <w:u w:val="none"/>
        </w:rPr>
        <w:fldChar w:fldCharType="begin"/>
      </w:r>
      <w:r>
        <w:rPr>
          <w:rFonts w:hint="default" w:ascii="Times New Roman" w:hAnsi="Times New Roman" w:eastAsia="楷体_GB2312" w:cs="Times New Roman"/>
          <w:b w:val="0"/>
          <w:bCs/>
          <w:color w:val="auto"/>
          <w:sz w:val="30"/>
          <w:szCs w:val="30"/>
          <w:highlight w:val="none"/>
          <w:u w:val="none"/>
        </w:rPr>
        <w:instrText xml:space="preserve"> PAGEREF _Toc27416 \h </w:instrText>
      </w:r>
      <w:r>
        <w:rPr>
          <w:rFonts w:hint="default" w:ascii="Times New Roman" w:hAnsi="Times New Roman" w:eastAsia="楷体_GB2312" w:cs="Times New Roman"/>
          <w:b w:val="0"/>
          <w:bCs/>
          <w:color w:val="auto"/>
          <w:sz w:val="30"/>
          <w:szCs w:val="30"/>
          <w:highlight w:val="none"/>
          <w:u w:val="none"/>
        </w:rPr>
        <w:fldChar w:fldCharType="separate"/>
      </w:r>
      <w:r>
        <w:rPr>
          <w:rFonts w:hint="default" w:ascii="Times New Roman" w:hAnsi="Times New Roman" w:eastAsia="楷体_GB2312" w:cs="Times New Roman"/>
          <w:b w:val="0"/>
          <w:bCs/>
          <w:color w:val="auto"/>
          <w:sz w:val="30"/>
          <w:szCs w:val="30"/>
          <w:highlight w:val="none"/>
          <w:u w:val="none"/>
        </w:rPr>
        <w:t>14</w:t>
      </w:r>
      <w:r>
        <w:rPr>
          <w:rFonts w:hint="default" w:ascii="Times New Roman" w:hAnsi="Times New Roman" w:eastAsia="楷体_GB2312" w:cs="Times New Roman"/>
          <w:b w:val="0"/>
          <w:bCs/>
          <w:color w:val="auto"/>
          <w:sz w:val="30"/>
          <w:szCs w:val="30"/>
          <w:highlight w:val="none"/>
          <w:u w:val="none"/>
        </w:rPr>
        <w:fldChar w:fldCharType="end"/>
      </w:r>
      <w:r>
        <w:rPr>
          <w:rFonts w:hint="default" w:ascii="Times New Roman" w:hAnsi="Times New Roman" w:eastAsia="楷体_GB2312" w:cs="Times New Roman"/>
          <w:b w:val="0"/>
          <w:bCs/>
          <w:color w:val="auto"/>
          <w:sz w:val="30"/>
          <w:szCs w:val="30"/>
          <w:highlight w:val="none"/>
          <w:u w:val="none"/>
        </w:rPr>
        <w:fldChar w:fldCharType="end"/>
      </w:r>
    </w:p>
    <w:p>
      <w:pPr>
        <w:pStyle w:val="5"/>
        <w:tabs>
          <w:tab w:val="right" w:leader="dot" w:pos="8732"/>
          <w:tab w:val="clear" w:pos="8948"/>
        </w:tabs>
        <w:spacing w:line="600" w:lineRule="exact"/>
        <w:ind w:left="0"/>
        <w:rPr>
          <w:rFonts w:hint="default" w:ascii="Times New Roman" w:hAnsi="Times New Roman" w:eastAsia="楷体_GB2312" w:cs="Times New Roman"/>
          <w:b w:val="0"/>
          <w:bCs/>
          <w:color w:val="auto"/>
          <w:sz w:val="30"/>
          <w:szCs w:val="30"/>
          <w:highlight w:val="none"/>
          <w:u w:val="none"/>
        </w:rPr>
      </w:pPr>
      <w:r>
        <w:rPr>
          <w:rFonts w:hint="default" w:ascii="Times New Roman" w:hAnsi="Times New Roman" w:eastAsia="楷体_GB2312" w:cs="Times New Roman"/>
          <w:b w:val="0"/>
          <w:bCs/>
          <w:color w:val="auto"/>
          <w:sz w:val="30"/>
          <w:szCs w:val="30"/>
          <w:highlight w:val="none"/>
          <w:u w:val="none"/>
        </w:rPr>
        <w:fldChar w:fldCharType="begin"/>
      </w:r>
      <w:r>
        <w:rPr>
          <w:rFonts w:hint="default" w:ascii="Times New Roman" w:hAnsi="Times New Roman" w:eastAsia="楷体_GB2312" w:cs="Times New Roman"/>
          <w:b w:val="0"/>
          <w:bCs/>
          <w:color w:val="auto"/>
          <w:sz w:val="30"/>
          <w:szCs w:val="30"/>
          <w:highlight w:val="none"/>
          <w:u w:val="none"/>
        </w:rPr>
        <w:instrText xml:space="preserve"> HYPERLINK \l _Toc13960 </w:instrText>
      </w:r>
      <w:r>
        <w:rPr>
          <w:rFonts w:hint="default" w:ascii="Times New Roman" w:hAnsi="Times New Roman" w:eastAsia="楷体_GB2312" w:cs="Times New Roman"/>
          <w:b w:val="0"/>
          <w:bCs/>
          <w:color w:val="auto"/>
          <w:sz w:val="30"/>
          <w:szCs w:val="30"/>
          <w:highlight w:val="none"/>
          <w:u w:val="none"/>
        </w:rPr>
        <w:fldChar w:fldCharType="separate"/>
      </w:r>
      <w:r>
        <w:rPr>
          <w:rFonts w:hint="default" w:ascii="Times New Roman" w:hAnsi="Times New Roman" w:eastAsia="楷体_GB2312" w:cs="Times New Roman"/>
          <w:b w:val="0"/>
          <w:bCs/>
          <w:color w:val="auto"/>
          <w:sz w:val="30"/>
          <w:szCs w:val="30"/>
          <w:highlight w:val="none"/>
          <w:u w:val="none"/>
        </w:rPr>
        <w:t>第三节 健全统一规范的医疗救助制度</w:t>
      </w:r>
      <w:r>
        <w:rPr>
          <w:rFonts w:hint="default" w:ascii="Times New Roman" w:hAnsi="Times New Roman" w:eastAsia="楷体_GB2312" w:cs="Times New Roman"/>
          <w:b w:val="0"/>
          <w:bCs/>
          <w:color w:val="auto"/>
          <w:sz w:val="30"/>
          <w:szCs w:val="30"/>
          <w:highlight w:val="none"/>
          <w:u w:val="none"/>
        </w:rPr>
        <w:tab/>
      </w:r>
      <w:r>
        <w:rPr>
          <w:rFonts w:hint="default" w:ascii="Times New Roman" w:hAnsi="Times New Roman" w:eastAsia="楷体_GB2312" w:cs="Times New Roman"/>
          <w:b w:val="0"/>
          <w:bCs/>
          <w:color w:val="auto"/>
          <w:sz w:val="30"/>
          <w:szCs w:val="30"/>
          <w:highlight w:val="none"/>
          <w:u w:val="none"/>
        </w:rPr>
        <w:fldChar w:fldCharType="begin"/>
      </w:r>
      <w:r>
        <w:rPr>
          <w:rFonts w:hint="default" w:ascii="Times New Roman" w:hAnsi="Times New Roman" w:eastAsia="楷体_GB2312" w:cs="Times New Roman"/>
          <w:b w:val="0"/>
          <w:bCs/>
          <w:color w:val="auto"/>
          <w:sz w:val="30"/>
          <w:szCs w:val="30"/>
          <w:highlight w:val="none"/>
          <w:u w:val="none"/>
        </w:rPr>
        <w:instrText xml:space="preserve"> PAGEREF _Toc13960 \h </w:instrText>
      </w:r>
      <w:r>
        <w:rPr>
          <w:rFonts w:hint="default" w:ascii="Times New Roman" w:hAnsi="Times New Roman" w:eastAsia="楷体_GB2312" w:cs="Times New Roman"/>
          <w:b w:val="0"/>
          <w:bCs/>
          <w:color w:val="auto"/>
          <w:sz w:val="30"/>
          <w:szCs w:val="30"/>
          <w:highlight w:val="none"/>
          <w:u w:val="none"/>
        </w:rPr>
        <w:fldChar w:fldCharType="separate"/>
      </w:r>
      <w:r>
        <w:rPr>
          <w:rFonts w:hint="default" w:ascii="Times New Roman" w:hAnsi="Times New Roman" w:eastAsia="楷体_GB2312" w:cs="Times New Roman"/>
          <w:b w:val="0"/>
          <w:bCs/>
          <w:color w:val="auto"/>
          <w:sz w:val="30"/>
          <w:szCs w:val="30"/>
          <w:highlight w:val="none"/>
          <w:u w:val="none"/>
        </w:rPr>
        <w:t>15</w:t>
      </w:r>
      <w:r>
        <w:rPr>
          <w:rFonts w:hint="default" w:ascii="Times New Roman" w:hAnsi="Times New Roman" w:eastAsia="楷体_GB2312" w:cs="Times New Roman"/>
          <w:b w:val="0"/>
          <w:bCs/>
          <w:color w:val="auto"/>
          <w:sz w:val="30"/>
          <w:szCs w:val="30"/>
          <w:highlight w:val="none"/>
          <w:u w:val="none"/>
        </w:rPr>
        <w:fldChar w:fldCharType="end"/>
      </w:r>
      <w:r>
        <w:rPr>
          <w:rFonts w:hint="default" w:ascii="Times New Roman" w:hAnsi="Times New Roman" w:eastAsia="楷体_GB2312" w:cs="Times New Roman"/>
          <w:b w:val="0"/>
          <w:bCs/>
          <w:color w:val="auto"/>
          <w:sz w:val="30"/>
          <w:szCs w:val="30"/>
          <w:highlight w:val="none"/>
          <w:u w:val="none"/>
        </w:rPr>
        <w:fldChar w:fldCharType="end"/>
      </w:r>
    </w:p>
    <w:p>
      <w:pPr>
        <w:pStyle w:val="5"/>
        <w:tabs>
          <w:tab w:val="right" w:leader="dot" w:pos="8732"/>
          <w:tab w:val="clear" w:pos="8948"/>
        </w:tabs>
        <w:spacing w:line="600" w:lineRule="exact"/>
        <w:ind w:left="0"/>
        <w:rPr>
          <w:rFonts w:hint="default" w:ascii="Times New Roman" w:hAnsi="Times New Roman" w:eastAsia="楷体_GB2312" w:cs="Times New Roman"/>
          <w:b w:val="0"/>
          <w:bCs/>
          <w:color w:val="auto"/>
          <w:sz w:val="30"/>
          <w:szCs w:val="30"/>
          <w:highlight w:val="none"/>
          <w:u w:val="none"/>
        </w:rPr>
      </w:pPr>
      <w:r>
        <w:rPr>
          <w:rFonts w:hint="default" w:ascii="Times New Roman" w:hAnsi="Times New Roman" w:eastAsia="楷体_GB2312" w:cs="Times New Roman"/>
          <w:b w:val="0"/>
          <w:bCs/>
          <w:color w:val="auto"/>
          <w:sz w:val="30"/>
          <w:szCs w:val="30"/>
          <w:highlight w:val="none"/>
          <w:u w:val="none"/>
        </w:rPr>
        <w:fldChar w:fldCharType="begin"/>
      </w:r>
      <w:r>
        <w:rPr>
          <w:rFonts w:hint="default" w:ascii="Times New Roman" w:hAnsi="Times New Roman" w:eastAsia="楷体_GB2312" w:cs="Times New Roman"/>
          <w:b w:val="0"/>
          <w:bCs/>
          <w:color w:val="auto"/>
          <w:sz w:val="30"/>
          <w:szCs w:val="30"/>
          <w:highlight w:val="none"/>
          <w:u w:val="none"/>
        </w:rPr>
        <w:instrText xml:space="preserve"> HYPERLINK \l _Toc24053 </w:instrText>
      </w:r>
      <w:r>
        <w:rPr>
          <w:rFonts w:hint="default" w:ascii="Times New Roman" w:hAnsi="Times New Roman" w:eastAsia="楷体_GB2312" w:cs="Times New Roman"/>
          <w:b w:val="0"/>
          <w:bCs/>
          <w:color w:val="auto"/>
          <w:sz w:val="30"/>
          <w:szCs w:val="30"/>
          <w:highlight w:val="none"/>
          <w:u w:val="none"/>
        </w:rPr>
        <w:fldChar w:fldCharType="separate"/>
      </w:r>
      <w:r>
        <w:rPr>
          <w:rFonts w:hint="default" w:ascii="Times New Roman" w:hAnsi="Times New Roman" w:eastAsia="楷体_GB2312" w:cs="Times New Roman"/>
          <w:b w:val="0"/>
          <w:bCs/>
          <w:color w:val="auto"/>
          <w:sz w:val="30"/>
          <w:szCs w:val="30"/>
          <w:highlight w:val="none"/>
          <w:u w:val="none"/>
        </w:rPr>
        <w:t>第</w:t>
      </w:r>
      <w:r>
        <w:rPr>
          <w:rFonts w:hint="default" w:ascii="Times New Roman" w:hAnsi="Times New Roman" w:eastAsia="楷体_GB2312" w:cs="Times New Roman"/>
          <w:b w:val="0"/>
          <w:bCs/>
          <w:color w:val="auto"/>
          <w:sz w:val="30"/>
          <w:szCs w:val="30"/>
          <w:highlight w:val="none"/>
          <w:u w:val="none"/>
          <w:lang w:eastAsia="zh-CN"/>
        </w:rPr>
        <w:t>四</w:t>
      </w:r>
      <w:r>
        <w:rPr>
          <w:rFonts w:hint="default" w:ascii="Times New Roman" w:hAnsi="Times New Roman" w:eastAsia="楷体_GB2312" w:cs="Times New Roman"/>
          <w:b w:val="0"/>
          <w:bCs/>
          <w:color w:val="auto"/>
          <w:sz w:val="30"/>
          <w:szCs w:val="30"/>
          <w:highlight w:val="none"/>
          <w:u w:val="none"/>
        </w:rPr>
        <w:t>节 优化完善生育保险制度</w:t>
      </w:r>
      <w:r>
        <w:rPr>
          <w:rFonts w:hint="default" w:ascii="Times New Roman" w:hAnsi="Times New Roman" w:eastAsia="楷体_GB2312" w:cs="Times New Roman"/>
          <w:b w:val="0"/>
          <w:bCs/>
          <w:color w:val="auto"/>
          <w:sz w:val="30"/>
          <w:szCs w:val="30"/>
          <w:highlight w:val="none"/>
          <w:u w:val="none"/>
        </w:rPr>
        <w:tab/>
      </w:r>
      <w:r>
        <w:rPr>
          <w:rFonts w:hint="default" w:ascii="Times New Roman" w:hAnsi="Times New Roman" w:eastAsia="楷体_GB2312" w:cs="Times New Roman"/>
          <w:b w:val="0"/>
          <w:bCs/>
          <w:color w:val="auto"/>
          <w:sz w:val="30"/>
          <w:szCs w:val="30"/>
          <w:highlight w:val="none"/>
          <w:u w:val="none"/>
        </w:rPr>
        <w:fldChar w:fldCharType="begin"/>
      </w:r>
      <w:r>
        <w:rPr>
          <w:rFonts w:hint="default" w:ascii="Times New Roman" w:hAnsi="Times New Roman" w:eastAsia="楷体_GB2312" w:cs="Times New Roman"/>
          <w:b w:val="0"/>
          <w:bCs/>
          <w:color w:val="auto"/>
          <w:sz w:val="30"/>
          <w:szCs w:val="30"/>
          <w:highlight w:val="none"/>
          <w:u w:val="none"/>
        </w:rPr>
        <w:instrText xml:space="preserve"> PAGEREF _Toc24053 \h </w:instrText>
      </w:r>
      <w:r>
        <w:rPr>
          <w:rFonts w:hint="default" w:ascii="Times New Roman" w:hAnsi="Times New Roman" w:eastAsia="楷体_GB2312" w:cs="Times New Roman"/>
          <w:b w:val="0"/>
          <w:bCs/>
          <w:color w:val="auto"/>
          <w:sz w:val="30"/>
          <w:szCs w:val="30"/>
          <w:highlight w:val="none"/>
          <w:u w:val="none"/>
        </w:rPr>
        <w:fldChar w:fldCharType="separate"/>
      </w:r>
      <w:r>
        <w:rPr>
          <w:rFonts w:hint="default" w:ascii="Times New Roman" w:hAnsi="Times New Roman" w:eastAsia="楷体_GB2312" w:cs="Times New Roman"/>
          <w:b w:val="0"/>
          <w:bCs/>
          <w:color w:val="auto"/>
          <w:sz w:val="30"/>
          <w:szCs w:val="30"/>
          <w:highlight w:val="none"/>
          <w:u w:val="none"/>
        </w:rPr>
        <w:t>16</w:t>
      </w:r>
      <w:r>
        <w:rPr>
          <w:rFonts w:hint="default" w:ascii="Times New Roman" w:hAnsi="Times New Roman" w:eastAsia="楷体_GB2312" w:cs="Times New Roman"/>
          <w:b w:val="0"/>
          <w:bCs/>
          <w:color w:val="auto"/>
          <w:sz w:val="30"/>
          <w:szCs w:val="30"/>
          <w:highlight w:val="none"/>
          <w:u w:val="none"/>
        </w:rPr>
        <w:fldChar w:fldCharType="end"/>
      </w:r>
      <w:r>
        <w:rPr>
          <w:rFonts w:hint="default" w:ascii="Times New Roman" w:hAnsi="Times New Roman" w:eastAsia="楷体_GB2312" w:cs="Times New Roman"/>
          <w:b w:val="0"/>
          <w:bCs/>
          <w:color w:val="auto"/>
          <w:sz w:val="30"/>
          <w:szCs w:val="30"/>
          <w:highlight w:val="none"/>
          <w:u w:val="none"/>
        </w:rPr>
        <w:fldChar w:fldCharType="end"/>
      </w:r>
    </w:p>
    <w:p>
      <w:pPr>
        <w:pStyle w:val="5"/>
        <w:tabs>
          <w:tab w:val="right" w:leader="dot" w:pos="8732"/>
          <w:tab w:val="clear" w:pos="8948"/>
        </w:tabs>
        <w:spacing w:line="600" w:lineRule="exact"/>
        <w:ind w:left="0"/>
        <w:rPr>
          <w:rFonts w:hint="default" w:ascii="Times New Roman" w:hAnsi="Times New Roman" w:eastAsia="楷体_GB2312" w:cs="Times New Roman"/>
          <w:b w:val="0"/>
          <w:bCs/>
          <w:color w:val="auto"/>
          <w:sz w:val="30"/>
          <w:szCs w:val="30"/>
          <w:highlight w:val="none"/>
          <w:u w:val="none"/>
        </w:rPr>
      </w:pPr>
      <w:r>
        <w:rPr>
          <w:rFonts w:hint="default" w:ascii="Times New Roman" w:hAnsi="Times New Roman" w:eastAsia="楷体_GB2312" w:cs="Times New Roman"/>
          <w:b w:val="0"/>
          <w:bCs/>
          <w:color w:val="auto"/>
          <w:sz w:val="30"/>
          <w:szCs w:val="30"/>
          <w:highlight w:val="none"/>
          <w:u w:val="none"/>
        </w:rPr>
        <w:fldChar w:fldCharType="begin"/>
      </w:r>
      <w:r>
        <w:rPr>
          <w:rFonts w:hint="default" w:ascii="Times New Roman" w:hAnsi="Times New Roman" w:eastAsia="楷体_GB2312" w:cs="Times New Roman"/>
          <w:b w:val="0"/>
          <w:bCs/>
          <w:color w:val="auto"/>
          <w:sz w:val="30"/>
          <w:szCs w:val="30"/>
          <w:highlight w:val="none"/>
          <w:u w:val="none"/>
        </w:rPr>
        <w:instrText xml:space="preserve"> HYPERLINK \l _Toc19684 </w:instrText>
      </w:r>
      <w:r>
        <w:rPr>
          <w:rFonts w:hint="default" w:ascii="Times New Roman" w:hAnsi="Times New Roman" w:eastAsia="楷体_GB2312" w:cs="Times New Roman"/>
          <w:b w:val="0"/>
          <w:bCs/>
          <w:color w:val="auto"/>
          <w:sz w:val="30"/>
          <w:szCs w:val="30"/>
          <w:highlight w:val="none"/>
          <w:u w:val="none"/>
        </w:rPr>
        <w:fldChar w:fldCharType="separate"/>
      </w:r>
      <w:r>
        <w:rPr>
          <w:rFonts w:hint="default" w:ascii="Times New Roman" w:hAnsi="Times New Roman" w:eastAsia="楷体_GB2312" w:cs="Times New Roman"/>
          <w:b w:val="0"/>
          <w:bCs/>
          <w:color w:val="auto"/>
          <w:sz w:val="30"/>
          <w:szCs w:val="30"/>
          <w:highlight w:val="none"/>
          <w:u w:val="none"/>
        </w:rPr>
        <w:t>第</w:t>
      </w:r>
      <w:r>
        <w:rPr>
          <w:rFonts w:hint="default" w:ascii="Times New Roman" w:hAnsi="Times New Roman" w:eastAsia="楷体_GB2312" w:cs="Times New Roman"/>
          <w:b w:val="0"/>
          <w:bCs/>
          <w:color w:val="auto"/>
          <w:sz w:val="30"/>
          <w:szCs w:val="30"/>
          <w:highlight w:val="none"/>
          <w:u w:val="none"/>
          <w:lang w:eastAsia="zh-CN"/>
        </w:rPr>
        <w:t>五</w:t>
      </w:r>
      <w:r>
        <w:rPr>
          <w:rFonts w:hint="default" w:ascii="Times New Roman" w:hAnsi="Times New Roman" w:eastAsia="楷体_GB2312" w:cs="Times New Roman"/>
          <w:b w:val="0"/>
          <w:bCs/>
          <w:color w:val="auto"/>
          <w:sz w:val="30"/>
          <w:szCs w:val="30"/>
          <w:highlight w:val="none"/>
          <w:u w:val="none"/>
        </w:rPr>
        <w:t>节 探索建立长期护理保险制度</w:t>
      </w:r>
      <w:r>
        <w:rPr>
          <w:rFonts w:hint="default" w:ascii="Times New Roman" w:hAnsi="Times New Roman" w:eastAsia="楷体_GB2312" w:cs="Times New Roman"/>
          <w:b w:val="0"/>
          <w:bCs/>
          <w:color w:val="auto"/>
          <w:sz w:val="30"/>
          <w:szCs w:val="30"/>
          <w:highlight w:val="none"/>
          <w:u w:val="none"/>
        </w:rPr>
        <w:tab/>
      </w:r>
      <w:r>
        <w:rPr>
          <w:rFonts w:hint="default" w:ascii="Times New Roman" w:hAnsi="Times New Roman" w:eastAsia="楷体_GB2312" w:cs="Times New Roman"/>
          <w:b w:val="0"/>
          <w:bCs/>
          <w:color w:val="auto"/>
          <w:sz w:val="30"/>
          <w:szCs w:val="30"/>
          <w:highlight w:val="none"/>
          <w:u w:val="none"/>
        </w:rPr>
        <w:fldChar w:fldCharType="begin"/>
      </w:r>
      <w:r>
        <w:rPr>
          <w:rFonts w:hint="default" w:ascii="Times New Roman" w:hAnsi="Times New Roman" w:eastAsia="楷体_GB2312" w:cs="Times New Roman"/>
          <w:b w:val="0"/>
          <w:bCs/>
          <w:color w:val="auto"/>
          <w:sz w:val="30"/>
          <w:szCs w:val="30"/>
          <w:highlight w:val="none"/>
          <w:u w:val="none"/>
        </w:rPr>
        <w:instrText xml:space="preserve"> PAGEREF _Toc19684 \h </w:instrText>
      </w:r>
      <w:r>
        <w:rPr>
          <w:rFonts w:hint="default" w:ascii="Times New Roman" w:hAnsi="Times New Roman" w:eastAsia="楷体_GB2312" w:cs="Times New Roman"/>
          <w:b w:val="0"/>
          <w:bCs/>
          <w:color w:val="auto"/>
          <w:sz w:val="30"/>
          <w:szCs w:val="30"/>
          <w:highlight w:val="none"/>
          <w:u w:val="none"/>
        </w:rPr>
        <w:fldChar w:fldCharType="separate"/>
      </w:r>
      <w:r>
        <w:rPr>
          <w:rFonts w:hint="default" w:ascii="Times New Roman" w:hAnsi="Times New Roman" w:eastAsia="楷体_GB2312" w:cs="Times New Roman"/>
          <w:b w:val="0"/>
          <w:bCs/>
          <w:color w:val="auto"/>
          <w:sz w:val="30"/>
          <w:szCs w:val="30"/>
          <w:highlight w:val="none"/>
          <w:u w:val="none"/>
        </w:rPr>
        <w:t>16</w:t>
      </w:r>
      <w:r>
        <w:rPr>
          <w:rFonts w:hint="default" w:ascii="Times New Roman" w:hAnsi="Times New Roman" w:eastAsia="楷体_GB2312" w:cs="Times New Roman"/>
          <w:b w:val="0"/>
          <w:bCs/>
          <w:color w:val="auto"/>
          <w:sz w:val="30"/>
          <w:szCs w:val="30"/>
          <w:highlight w:val="none"/>
          <w:u w:val="none"/>
        </w:rPr>
        <w:fldChar w:fldCharType="end"/>
      </w:r>
      <w:r>
        <w:rPr>
          <w:rFonts w:hint="default" w:ascii="Times New Roman" w:hAnsi="Times New Roman" w:eastAsia="楷体_GB2312" w:cs="Times New Roman"/>
          <w:b w:val="0"/>
          <w:bCs/>
          <w:color w:val="auto"/>
          <w:sz w:val="30"/>
          <w:szCs w:val="30"/>
          <w:highlight w:val="none"/>
          <w:u w:val="none"/>
        </w:rPr>
        <w:fldChar w:fldCharType="end"/>
      </w:r>
    </w:p>
    <w:p>
      <w:pPr>
        <w:pStyle w:val="10"/>
        <w:tabs>
          <w:tab w:val="right" w:leader="dot" w:pos="8732"/>
          <w:tab w:val="clear" w:pos="8948"/>
        </w:tabs>
        <w:spacing w:line="600" w:lineRule="exact"/>
        <w:ind w:left="0" w:leftChars="0"/>
        <w:rPr>
          <w:rFonts w:hint="default" w:ascii="Times New Roman" w:hAnsi="Times New Roman" w:eastAsia="楷体_GB2312" w:cs="Times New Roman"/>
          <w:b w:val="0"/>
          <w:bCs/>
          <w:color w:val="auto"/>
          <w:highlight w:val="none"/>
          <w:u w:val="none"/>
        </w:rPr>
      </w:pPr>
      <w:r>
        <w:rPr>
          <w:rFonts w:hint="default" w:ascii="Times New Roman" w:hAnsi="Times New Roman" w:eastAsia="楷体_GB2312" w:cs="Times New Roman"/>
          <w:b w:val="0"/>
          <w:bCs/>
          <w:color w:val="auto"/>
          <w:szCs w:val="30"/>
          <w:highlight w:val="none"/>
          <w:u w:val="none"/>
        </w:rPr>
        <w:fldChar w:fldCharType="begin"/>
      </w:r>
      <w:r>
        <w:rPr>
          <w:rFonts w:hint="default" w:ascii="Times New Roman" w:hAnsi="Times New Roman" w:eastAsia="楷体_GB2312" w:cs="Times New Roman"/>
          <w:b w:val="0"/>
          <w:bCs/>
          <w:color w:val="auto"/>
          <w:szCs w:val="30"/>
          <w:highlight w:val="none"/>
          <w:u w:val="none"/>
        </w:rPr>
        <w:instrText xml:space="preserve"> HYPERLINK \l _Toc2340 </w:instrText>
      </w:r>
      <w:r>
        <w:rPr>
          <w:rFonts w:hint="default" w:ascii="Times New Roman" w:hAnsi="Times New Roman" w:eastAsia="楷体_GB2312" w:cs="Times New Roman"/>
          <w:b w:val="0"/>
          <w:bCs/>
          <w:color w:val="auto"/>
          <w:szCs w:val="30"/>
          <w:highlight w:val="none"/>
          <w:u w:val="none"/>
        </w:rPr>
        <w:fldChar w:fldCharType="separate"/>
      </w:r>
      <w:r>
        <w:rPr>
          <w:rFonts w:hint="default" w:ascii="Times New Roman" w:hAnsi="Times New Roman" w:eastAsia="楷体_GB2312" w:cs="Times New Roman"/>
          <w:b w:val="0"/>
          <w:bCs/>
          <w:color w:val="auto"/>
          <w:szCs w:val="30"/>
          <w:highlight w:val="none"/>
          <w:u w:val="none"/>
        </w:rPr>
        <w:t>第</w:t>
      </w:r>
      <w:r>
        <w:rPr>
          <w:rFonts w:hint="default" w:ascii="Times New Roman" w:hAnsi="Times New Roman" w:eastAsia="楷体_GB2312" w:cs="Times New Roman"/>
          <w:b w:val="0"/>
          <w:bCs/>
          <w:color w:val="auto"/>
          <w:szCs w:val="30"/>
          <w:highlight w:val="none"/>
          <w:u w:val="none"/>
          <w:lang w:eastAsia="zh-CN"/>
        </w:rPr>
        <w:t>六节 健全重大疫情医疗保障机制</w:t>
      </w:r>
      <w:r>
        <w:rPr>
          <w:rFonts w:hint="default" w:ascii="Times New Roman" w:hAnsi="Times New Roman" w:eastAsia="楷体_GB2312" w:cs="Times New Roman"/>
          <w:b w:val="0"/>
          <w:bCs/>
          <w:color w:val="auto"/>
          <w:highlight w:val="none"/>
          <w:u w:val="none"/>
        </w:rPr>
        <w:tab/>
      </w:r>
      <w:r>
        <w:rPr>
          <w:rFonts w:hint="default" w:ascii="Times New Roman" w:hAnsi="Times New Roman" w:eastAsia="楷体_GB2312" w:cs="Times New Roman"/>
          <w:b w:val="0"/>
          <w:bCs/>
          <w:color w:val="auto"/>
          <w:highlight w:val="none"/>
          <w:u w:val="none"/>
        </w:rPr>
        <w:fldChar w:fldCharType="begin"/>
      </w:r>
      <w:r>
        <w:rPr>
          <w:rFonts w:hint="default" w:ascii="Times New Roman" w:hAnsi="Times New Roman" w:eastAsia="楷体_GB2312" w:cs="Times New Roman"/>
          <w:b w:val="0"/>
          <w:bCs/>
          <w:color w:val="auto"/>
          <w:highlight w:val="none"/>
          <w:u w:val="none"/>
        </w:rPr>
        <w:instrText xml:space="preserve"> PAGEREF _Toc2340 \h </w:instrText>
      </w:r>
      <w:r>
        <w:rPr>
          <w:rFonts w:hint="default" w:ascii="Times New Roman" w:hAnsi="Times New Roman" w:eastAsia="楷体_GB2312" w:cs="Times New Roman"/>
          <w:b w:val="0"/>
          <w:bCs/>
          <w:color w:val="auto"/>
          <w:highlight w:val="none"/>
          <w:u w:val="none"/>
        </w:rPr>
        <w:fldChar w:fldCharType="separate"/>
      </w:r>
      <w:r>
        <w:rPr>
          <w:rFonts w:hint="default" w:ascii="Times New Roman" w:hAnsi="Times New Roman" w:eastAsia="楷体_GB2312" w:cs="Times New Roman"/>
          <w:b w:val="0"/>
          <w:bCs/>
          <w:color w:val="auto"/>
          <w:highlight w:val="none"/>
          <w:u w:val="none"/>
        </w:rPr>
        <w:t>1</w:t>
      </w:r>
      <w:r>
        <w:rPr>
          <w:rFonts w:hint="default" w:ascii="Times New Roman" w:hAnsi="Times New Roman" w:eastAsia="楷体_GB2312" w:cs="Times New Roman"/>
          <w:b w:val="0"/>
          <w:bCs/>
          <w:color w:val="auto"/>
          <w:highlight w:val="none"/>
          <w:u w:val="none"/>
        </w:rPr>
        <w:fldChar w:fldCharType="end"/>
      </w:r>
      <w:r>
        <w:rPr>
          <w:rFonts w:hint="default" w:ascii="Times New Roman" w:hAnsi="Times New Roman" w:eastAsia="楷体_GB2312" w:cs="Times New Roman"/>
          <w:b w:val="0"/>
          <w:bCs/>
          <w:color w:val="auto"/>
          <w:szCs w:val="30"/>
          <w:highlight w:val="none"/>
          <w:u w:val="none"/>
        </w:rPr>
        <w:fldChar w:fldCharType="end"/>
      </w:r>
      <w:r>
        <w:rPr>
          <w:rFonts w:hint="eastAsia" w:eastAsia="楷体_GB2312" w:cs="Times New Roman"/>
          <w:b w:val="0"/>
          <w:bCs/>
          <w:color w:val="auto"/>
          <w:highlight w:val="none"/>
          <w:u w:val="none"/>
          <w:lang w:val="en-US" w:eastAsia="zh-CN"/>
        </w:rPr>
        <w:t>6</w:t>
      </w:r>
    </w:p>
    <w:p>
      <w:pPr>
        <w:pStyle w:val="10"/>
        <w:tabs>
          <w:tab w:val="right" w:leader="dot" w:pos="8732"/>
          <w:tab w:val="clear" w:pos="8948"/>
        </w:tabs>
        <w:spacing w:line="600" w:lineRule="exact"/>
        <w:ind w:left="0" w:leftChars="0"/>
        <w:rPr>
          <w:rFonts w:hint="default" w:ascii="Times New Roman" w:hAnsi="Times New Roman" w:eastAsia="楷体_GB2312" w:cs="Times New Roman"/>
          <w:b w:val="0"/>
          <w:bCs/>
          <w:color w:val="auto"/>
          <w:highlight w:val="none"/>
          <w:u w:val="none"/>
        </w:rPr>
      </w:pPr>
      <w:r>
        <w:rPr>
          <w:rFonts w:hint="default" w:ascii="Times New Roman" w:hAnsi="Times New Roman" w:eastAsia="方正小标宋简体" w:cs="Times New Roman"/>
          <w:b w:val="0"/>
          <w:bCs/>
          <w:color w:val="auto"/>
          <w:szCs w:val="30"/>
          <w:highlight w:val="none"/>
          <w:u w:val="none"/>
        </w:rPr>
        <w:fldChar w:fldCharType="begin"/>
      </w:r>
      <w:r>
        <w:rPr>
          <w:rFonts w:hint="default" w:ascii="Times New Roman" w:hAnsi="Times New Roman" w:eastAsia="方正小标宋简体" w:cs="Times New Roman"/>
          <w:b w:val="0"/>
          <w:bCs/>
          <w:color w:val="auto"/>
          <w:szCs w:val="30"/>
          <w:highlight w:val="none"/>
          <w:u w:val="none"/>
        </w:rPr>
        <w:instrText xml:space="preserve"> HYPERLINK \l _Toc2785 </w:instrText>
      </w:r>
      <w:r>
        <w:rPr>
          <w:rFonts w:hint="default" w:ascii="Times New Roman" w:hAnsi="Times New Roman" w:eastAsia="方正小标宋简体" w:cs="Times New Roman"/>
          <w:b w:val="0"/>
          <w:bCs/>
          <w:color w:val="auto"/>
          <w:szCs w:val="30"/>
          <w:highlight w:val="none"/>
          <w:u w:val="none"/>
        </w:rPr>
        <w:fldChar w:fldCharType="separate"/>
      </w:r>
      <w:r>
        <w:rPr>
          <w:rFonts w:hint="default" w:ascii="Times New Roman" w:hAnsi="Times New Roman" w:eastAsia="方正小标宋简体" w:cs="Times New Roman"/>
          <w:b w:val="0"/>
          <w:bCs/>
          <w:color w:val="auto"/>
          <w:szCs w:val="30"/>
          <w:highlight w:val="none"/>
          <w:u w:val="none"/>
        </w:rPr>
        <w:t>第四章 健全稳健可持续的筹资运行机制</w:t>
      </w:r>
      <w:r>
        <w:rPr>
          <w:rFonts w:hint="default" w:ascii="Times New Roman" w:hAnsi="Times New Roman" w:eastAsia="方正小标宋简体" w:cs="Times New Roman"/>
          <w:b w:val="0"/>
          <w:bCs/>
          <w:color w:val="auto"/>
          <w:highlight w:val="none"/>
          <w:u w:val="none"/>
        </w:rPr>
        <w:tab/>
      </w:r>
      <w:r>
        <w:rPr>
          <w:rFonts w:hint="default" w:ascii="Times New Roman" w:hAnsi="Times New Roman" w:eastAsia="方正小标宋简体" w:cs="Times New Roman"/>
          <w:b w:val="0"/>
          <w:bCs/>
          <w:color w:val="auto"/>
          <w:highlight w:val="none"/>
          <w:u w:val="none"/>
        </w:rPr>
        <w:fldChar w:fldCharType="begin"/>
      </w:r>
      <w:r>
        <w:rPr>
          <w:rFonts w:hint="default" w:ascii="Times New Roman" w:hAnsi="Times New Roman" w:eastAsia="方正小标宋简体" w:cs="Times New Roman"/>
          <w:b w:val="0"/>
          <w:bCs/>
          <w:color w:val="auto"/>
          <w:highlight w:val="none"/>
          <w:u w:val="none"/>
        </w:rPr>
        <w:instrText xml:space="preserve"> PAGEREF _Toc2785 \h </w:instrText>
      </w:r>
      <w:r>
        <w:rPr>
          <w:rFonts w:hint="default" w:ascii="Times New Roman" w:hAnsi="Times New Roman" w:eastAsia="方正小标宋简体" w:cs="Times New Roman"/>
          <w:b w:val="0"/>
          <w:bCs/>
          <w:color w:val="auto"/>
          <w:highlight w:val="none"/>
          <w:u w:val="none"/>
        </w:rPr>
        <w:fldChar w:fldCharType="separate"/>
      </w:r>
      <w:r>
        <w:rPr>
          <w:rFonts w:hint="default" w:ascii="Times New Roman" w:hAnsi="Times New Roman" w:eastAsia="方正小标宋简体" w:cs="Times New Roman"/>
          <w:b w:val="0"/>
          <w:bCs/>
          <w:color w:val="auto"/>
          <w:highlight w:val="none"/>
          <w:u w:val="none"/>
        </w:rPr>
        <w:t>18</w:t>
      </w:r>
      <w:r>
        <w:rPr>
          <w:rFonts w:hint="default" w:ascii="Times New Roman" w:hAnsi="Times New Roman" w:eastAsia="方正小标宋简体" w:cs="Times New Roman"/>
          <w:b w:val="0"/>
          <w:bCs/>
          <w:color w:val="auto"/>
          <w:highlight w:val="none"/>
          <w:u w:val="none"/>
        </w:rPr>
        <w:fldChar w:fldCharType="end"/>
      </w:r>
      <w:r>
        <w:rPr>
          <w:rFonts w:hint="default" w:ascii="Times New Roman" w:hAnsi="Times New Roman" w:eastAsia="方正小标宋简体" w:cs="Times New Roman"/>
          <w:b w:val="0"/>
          <w:bCs/>
          <w:color w:val="auto"/>
          <w:szCs w:val="30"/>
          <w:highlight w:val="none"/>
          <w:u w:val="none"/>
        </w:rPr>
        <w:fldChar w:fldCharType="end"/>
      </w:r>
    </w:p>
    <w:p>
      <w:pPr>
        <w:pStyle w:val="5"/>
        <w:tabs>
          <w:tab w:val="right" w:leader="dot" w:pos="8732"/>
          <w:tab w:val="clear" w:pos="8948"/>
        </w:tabs>
        <w:spacing w:line="600" w:lineRule="exact"/>
        <w:ind w:left="0"/>
        <w:rPr>
          <w:rFonts w:hint="default" w:ascii="Times New Roman" w:hAnsi="Times New Roman" w:eastAsia="楷体_GB2312" w:cs="Times New Roman"/>
          <w:b w:val="0"/>
          <w:bCs/>
          <w:color w:val="auto"/>
          <w:sz w:val="30"/>
          <w:szCs w:val="30"/>
          <w:highlight w:val="none"/>
          <w:u w:val="none"/>
        </w:rPr>
      </w:pPr>
      <w:r>
        <w:rPr>
          <w:rFonts w:hint="default" w:ascii="Times New Roman" w:hAnsi="Times New Roman" w:eastAsia="楷体_GB2312" w:cs="Times New Roman"/>
          <w:b w:val="0"/>
          <w:bCs/>
          <w:color w:val="auto"/>
          <w:sz w:val="30"/>
          <w:szCs w:val="30"/>
          <w:highlight w:val="none"/>
          <w:u w:val="none"/>
        </w:rPr>
        <w:fldChar w:fldCharType="begin"/>
      </w:r>
      <w:r>
        <w:rPr>
          <w:rFonts w:hint="default" w:ascii="Times New Roman" w:hAnsi="Times New Roman" w:eastAsia="楷体_GB2312" w:cs="Times New Roman"/>
          <w:b w:val="0"/>
          <w:bCs/>
          <w:color w:val="auto"/>
          <w:sz w:val="30"/>
          <w:szCs w:val="30"/>
          <w:highlight w:val="none"/>
          <w:u w:val="none"/>
        </w:rPr>
        <w:instrText xml:space="preserve"> HYPERLINK \l _Toc29634 </w:instrText>
      </w:r>
      <w:r>
        <w:rPr>
          <w:rFonts w:hint="default" w:ascii="Times New Roman" w:hAnsi="Times New Roman" w:eastAsia="楷体_GB2312" w:cs="Times New Roman"/>
          <w:b w:val="0"/>
          <w:bCs/>
          <w:color w:val="auto"/>
          <w:sz w:val="30"/>
          <w:szCs w:val="30"/>
          <w:highlight w:val="none"/>
          <w:u w:val="none"/>
        </w:rPr>
        <w:fldChar w:fldCharType="separate"/>
      </w:r>
      <w:r>
        <w:rPr>
          <w:rFonts w:hint="default" w:ascii="Times New Roman" w:hAnsi="Times New Roman" w:eastAsia="楷体_GB2312" w:cs="Times New Roman"/>
          <w:b w:val="0"/>
          <w:bCs/>
          <w:color w:val="auto"/>
          <w:sz w:val="30"/>
          <w:szCs w:val="30"/>
          <w:highlight w:val="none"/>
          <w:u w:val="none"/>
        </w:rPr>
        <w:t>第一节 完善筹资分担和调整机制</w:t>
      </w:r>
      <w:r>
        <w:rPr>
          <w:rFonts w:hint="default" w:ascii="Times New Roman" w:hAnsi="Times New Roman" w:eastAsia="楷体_GB2312" w:cs="Times New Roman"/>
          <w:b w:val="0"/>
          <w:bCs/>
          <w:color w:val="auto"/>
          <w:sz w:val="30"/>
          <w:szCs w:val="30"/>
          <w:highlight w:val="none"/>
          <w:u w:val="none"/>
        </w:rPr>
        <w:tab/>
      </w:r>
      <w:r>
        <w:rPr>
          <w:rFonts w:hint="default" w:ascii="Times New Roman" w:hAnsi="Times New Roman" w:eastAsia="楷体_GB2312" w:cs="Times New Roman"/>
          <w:b w:val="0"/>
          <w:bCs/>
          <w:color w:val="auto"/>
          <w:sz w:val="30"/>
          <w:szCs w:val="30"/>
          <w:highlight w:val="none"/>
          <w:u w:val="none"/>
        </w:rPr>
        <w:fldChar w:fldCharType="begin"/>
      </w:r>
      <w:r>
        <w:rPr>
          <w:rFonts w:hint="default" w:ascii="Times New Roman" w:hAnsi="Times New Roman" w:eastAsia="楷体_GB2312" w:cs="Times New Roman"/>
          <w:b w:val="0"/>
          <w:bCs/>
          <w:color w:val="auto"/>
          <w:sz w:val="30"/>
          <w:szCs w:val="30"/>
          <w:highlight w:val="none"/>
          <w:u w:val="none"/>
        </w:rPr>
        <w:instrText xml:space="preserve"> PAGEREF _Toc29634 \h </w:instrText>
      </w:r>
      <w:r>
        <w:rPr>
          <w:rFonts w:hint="default" w:ascii="Times New Roman" w:hAnsi="Times New Roman" w:eastAsia="楷体_GB2312" w:cs="Times New Roman"/>
          <w:b w:val="0"/>
          <w:bCs/>
          <w:color w:val="auto"/>
          <w:sz w:val="30"/>
          <w:szCs w:val="30"/>
          <w:highlight w:val="none"/>
          <w:u w:val="none"/>
        </w:rPr>
        <w:fldChar w:fldCharType="separate"/>
      </w:r>
      <w:r>
        <w:rPr>
          <w:rFonts w:hint="default" w:ascii="Times New Roman" w:hAnsi="Times New Roman" w:eastAsia="楷体_GB2312" w:cs="Times New Roman"/>
          <w:b w:val="0"/>
          <w:bCs/>
          <w:color w:val="auto"/>
          <w:sz w:val="30"/>
          <w:szCs w:val="30"/>
          <w:highlight w:val="none"/>
          <w:u w:val="none"/>
        </w:rPr>
        <w:t>18</w:t>
      </w:r>
      <w:r>
        <w:rPr>
          <w:rFonts w:hint="default" w:ascii="Times New Roman" w:hAnsi="Times New Roman" w:eastAsia="楷体_GB2312" w:cs="Times New Roman"/>
          <w:b w:val="0"/>
          <w:bCs/>
          <w:color w:val="auto"/>
          <w:sz w:val="30"/>
          <w:szCs w:val="30"/>
          <w:highlight w:val="none"/>
          <w:u w:val="none"/>
        </w:rPr>
        <w:fldChar w:fldCharType="end"/>
      </w:r>
      <w:r>
        <w:rPr>
          <w:rFonts w:hint="default" w:ascii="Times New Roman" w:hAnsi="Times New Roman" w:eastAsia="楷体_GB2312" w:cs="Times New Roman"/>
          <w:b w:val="0"/>
          <w:bCs/>
          <w:color w:val="auto"/>
          <w:sz w:val="30"/>
          <w:szCs w:val="30"/>
          <w:highlight w:val="none"/>
          <w:u w:val="none"/>
        </w:rPr>
        <w:fldChar w:fldCharType="end"/>
      </w:r>
    </w:p>
    <w:p>
      <w:pPr>
        <w:pStyle w:val="10"/>
        <w:tabs>
          <w:tab w:val="right" w:leader="dot" w:pos="8732"/>
          <w:tab w:val="clear" w:pos="8948"/>
        </w:tabs>
        <w:spacing w:line="600" w:lineRule="exact"/>
        <w:ind w:left="0" w:leftChars="0"/>
        <w:rPr>
          <w:rFonts w:hint="default" w:ascii="Times New Roman" w:hAnsi="Times New Roman" w:eastAsia="楷体_GB2312" w:cs="Times New Roman"/>
          <w:b w:val="0"/>
          <w:bCs/>
          <w:color w:val="auto"/>
          <w:highlight w:val="none"/>
          <w:u w:val="none"/>
        </w:rPr>
      </w:pPr>
      <w:r>
        <w:rPr>
          <w:rFonts w:hint="default" w:ascii="Times New Roman" w:hAnsi="Times New Roman" w:eastAsia="楷体_GB2312" w:cs="Times New Roman"/>
          <w:b w:val="0"/>
          <w:bCs/>
          <w:color w:val="auto"/>
          <w:szCs w:val="30"/>
          <w:highlight w:val="none"/>
          <w:u w:val="none"/>
        </w:rPr>
        <w:fldChar w:fldCharType="begin"/>
      </w:r>
      <w:r>
        <w:rPr>
          <w:rFonts w:hint="default" w:ascii="Times New Roman" w:hAnsi="Times New Roman" w:eastAsia="楷体_GB2312" w:cs="Times New Roman"/>
          <w:b w:val="0"/>
          <w:bCs/>
          <w:color w:val="auto"/>
          <w:szCs w:val="30"/>
          <w:highlight w:val="none"/>
          <w:u w:val="none"/>
        </w:rPr>
        <w:instrText xml:space="preserve"> HYPERLINK \l _Toc21734 </w:instrText>
      </w:r>
      <w:r>
        <w:rPr>
          <w:rFonts w:hint="default" w:ascii="Times New Roman" w:hAnsi="Times New Roman" w:eastAsia="楷体_GB2312" w:cs="Times New Roman"/>
          <w:b w:val="0"/>
          <w:bCs/>
          <w:color w:val="auto"/>
          <w:szCs w:val="30"/>
          <w:highlight w:val="none"/>
          <w:u w:val="none"/>
        </w:rPr>
        <w:fldChar w:fldCharType="separate"/>
      </w:r>
      <w:r>
        <w:rPr>
          <w:rFonts w:hint="default" w:ascii="Times New Roman" w:hAnsi="Times New Roman" w:eastAsia="楷体_GB2312" w:cs="Times New Roman"/>
          <w:b w:val="0"/>
          <w:bCs/>
          <w:color w:val="auto"/>
          <w:szCs w:val="30"/>
          <w:highlight w:val="none"/>
          <w:u w:val="none"/>
        </w:rPr>
        <w:t>第二节 完善基金预算制度</w:t>
      </w:r>
      <w:r>
        <w:rPr>
          <w:rFonts w:hint="default" w:ascii="Times New Roman" w:hAnsi="Times New Roman" w:eastAsia="楷体_GB2312" w:cs="Times New Roman"/>
          <w:b w:val="0"/>
          <w:bCs/>
          <w:color w:val="auto"/>
          <w:highlight w:val="none"/>
          <w:u w:val="none"/>
        </w:rPr>
        <w:tab/>
      </w:r>
      <w:r>
        <w:rPr>
          <w:rFonts w:hint="default" w:ascii="Times New Roman" w:hAnsi="Times New Roman" w:eastAsia="楷体_GB2312" w:cs="Times New Roman"/>
          <w:b w:val="0"/>
          <w:bCs/>
          <w:color w:val="auto"/>
          <w:highlight w:val="none"/>
          <w:u w:val="none"/>
        </w:rPr>
        <w:fldChar w:fldCharType="begin"/>
      </w:r>
      <w:r>
        <w:rPr>
          <w:rFonts w:hint="default" w:ascii="Times New Roman" w:hAnsi="Times New Roman" w:eastAsia="楷体_GB2312" w:cs="Times New Roman"/>
          <w:b w:val="0"/>
          <w:bCs/>
          <w:color w:val="auto"/>
          <w:highlight w:val="none"/>
          <w:u w:val="none"/>
        </w:rPr>
        <w:instrText xml:space="preserve"> PAGEREF _Toc21734 \h </w:instrText>
      </w:r>
      <w:r>
        <w:rPr>
          <w:rFonts w:hint="default" w:ascii="Times New Roman" w:hAnsi="Times New Roman" w:eastAsia="楷体_GB2312" w:cs="Times New Roman"/>
          <w:b w:val="0"/>
          <w:bCs/>
          <w:color w:val="auto"/>
          <w:highlight w:val="none"/>
          <w:u w:val="none"/>
        </w:rPr>
        <w:fldChar w:fldCharType="separate"/>
      </w:r>
      <w:r>
        <w:rPr>
          <w:rFonts w:hint="default" w:ascii="Times New Roman" w:hAnsi="Times New Roman" w:eastAsia="楷体_GB2312" w:cs="Times New Roman"/>
          <w:b w:val="0"/>
          <w:bCs/>
          <w:color w:val="auto"/>
          <w:highlight w:val="none"/>
          <w:u w:val="none"/>
        </w:rPr>
        <w:t>18</w:t>
      </w:r>
      <w:r>
        <w:rPr>
          <w:rFonts w:hint="default" w:ascii="Times New Roman" w:hAnsi="Times New Roman" w:eastAsia="楷体_GB2312" w:cs="Times New Roman"/>
          <w:b w:val="0"/>
          <w:bCs/>
          <w:color w:val="auto"/>
          <w:highlight w:val="none"/>
          <w:u w:val="none"/>
        </w:rPr>
        <w:fldChar w:fldCharType="end"/>
      </w:r>
      <w:r>
        <w:rPr>
          <w:rFonts w:hint="default" w:ascii="Times New Roman" w:hAnsi="Times New Roman" w:eastAsia="楷体_GB2312" w:cs="Times New Roman"/>
          <w:b w:val="0"/>
          <w:bCs/>
          <w:color w:val="auto"/>
          <w:szCs w:val="30"/>
          <w:highlight w:val="none"/>
          <w:u w:val="none"/>
        </w:rPr>
        <w:fldChar w:fldCharType="end"/>
      </w:r>
    </w:p>
    <w:p>
      <w:pPr>
        <w:pStyle w:val="10"/>
        <w:tabs>
          <w:tab w:val="right" w:leader="dot" w:pos="8732"/>
          <w:tab w:val="clear" w:pos="8948"/>
        </w:tabs>
        <w:spacing w:line="600" w:lineRule="exact"/>
        <w:ind w:left="0" w:leftChars="0"/>
        <w:rPr>
          <w:rFonts w:hint="default" w:ascii="Times New Roman" w:hAnsi="Times New Roman" w:eastAsia="方正小标宋简体" w:cs="Times New Roman"/>
          <w:b w:val="0"/>
          <w:bCs/>
          <w:color w:val="auto"/>
          <w:highlight w:val="none"/>
          <w:u w:val="none"/>
        </w:rPr>
      </w:pPr>
      <w:r>
        <w:rPr>
          <w:rFonts w:hint="default" w:ascii="Times New Roman" w:hAnsi="Times New Roman" w:eastAsia="方正小标宋简体" w:cs="Times New Roman"/>
          <w:b w:val="0"/>
          <w:bCs/>
          <w:color w:val="auto"/>
          <w:szCs w:val="30"/>
          <w:highlight w:val="none"/>
          <w:u w:val="none"/>
        </w:rPr>
        <w:fldChar w:fldCharType="begin"/>
      </w:r>
      <w:r>
        <w:rPr>
          <w:rFonts w:hint="default" w:ascii="Times New Roman" w:hAnsi="Times New Roman" w:eastAsia="方正小标宋简体" w:cs="Times New Roman"/>
          <w:b w:val="0"/>
          <w:bCs/>
          <w:color w:val="auto"/>
          <w:szCs w:val="30"/>
          <w:highlight w:val="none"/>
          <w:u w:val="none"/>
        </w:rPr>
        <w:instrText xml:space="preserve"> HYPERLINK \l _Toc29938 </w:instrText>
      </w:r>
      <w:r>
        <w:rPr>
          <w:rFonts w:hint="default" w:ascii="Times New Roman" w:hAnsi="Times New Roman" w:eastAsia="方正小标宋简体" w:cs="Times New Roman"/>
          <w:b w:val="0"/>
          <w:bCs/>
          <w:color w:val="auto"/>
          <w:szCs w:val="30"/>
          <w:highlight w:val="none"/>
          <w:u w:val="none"/>
        </w:rPr>
        <w:fldChar w:fldCharType="separate"/>
      </w:r>
      <w:r>
        <w:rPr>
          <w:rFonts w:hint="default" w:ascii="Times New Roman" w:hAnsi="Times New Roman" w:eastAsia="方正小标宋简体" w:cs="Times New Roman"/>
          <w:b w:val="0"/>
          <w:bCs/>
          <w:color w:val="auto"/>
          <w:szCs w:val="30"/>
          <w:highlight w:val="none"/>
          <w:u w:val="none"/>
        </w:rPr>
        <w:t>第五章 建立管用高效的医保支付机制</w:t>
      </w:r>
      <w:r>
        <w:rPr>
          <w:rFonts w:hint="default" w:ascii="Times New Roman" w:hAnsi="Times New Roman" w:eastAsia="方正小标宋简体" w:cs="Times New Roman"/>
          <w:b w:val="0"/>
          <w:bCs/>
          <w:color w:val="auto"/>
          <w:highlight w:val="none"/>
          <w:u w:val="none"/>
        </w:rPr>
        <w:tab/>
      </w:r>
      <w:r>
        <w:rPr>
          <w:rFonts w:hint="default" w:ascii="Times New Roman" w:hAnsi="Times New Roman" w:eastAsia="方正小标宋简体" w:cs="Times New Roman"/>
          <w:b w:val="0"/>
          <w:bCs/>
          <w:color w:val="auto"/>
          <w:highlight w:val="none"/>
          <w:u w:val="none"/>
        </w:rPr>
        <w:fldChar w:fldCharType="begin"/>
      </w:r>
      <w:r>
        <w:rPr>
          <w:rFonts w:hint="default" w:ascii="Times New Roman" w:hAnsi="Times New Roman" w:eastAsia="方正小标宋简体" w:cs="Times New Roman"/>
          <w:b w:val="0"/>
          <w:bCs/>
          <w:color w:val="auto"/>
          <w:highlight w:val="none"/>
          <w:u w:val="none"/>
        </w:rPr>
        <w:instrText xml:space="preserve"> PAGEREF _Toc29938 \h </w:instrText>
      </w:r>
      <w:r>
        <w:rPr>
          <w:rFonts w:hint="default" w:ascii="Times New Roman" w:hAnsi="Times New Roman" w:eastAsia="方正小标宋简体" w:cs="Times New Roman"/>
          <w:b w:val="0"/>
          <w:bCs/>
          <w:color w:val="auto"/>
          <w:highlight w:val="none"/>
          <w:u w:val="none"/>
        </w:rPr>
        <w:fldChar w:fldCharType="separate"/>
      </w:r>
      <w:r>
        <w:rPr>
          <w:rFonts w:hint="default" w:ascii="Times New Roman" w:hAnsi="Times New Roman" w:eastAsia="方正小标宋简体" w:cs="Times New Roman"/>
          <w:b w:val="0"/>
          <w:bCs/>
          <w:color w:val="auto"/>
          <w:highlight w:val="none"/>
          <w:u w:val="none"/>
        </w:rPr>
        <w:t>20</w:t>
      </w:r>
      <w:r>
        <w:rPr>
          <w:rFonts w:hint="default" w:ascii="Times New Roman" w:hAnsi="Times New Roman" w:eastAsia="方正小标宋简体" w:cs="Times New Roman"/>
          <w:b w:val="0"/>
          <w:bCs/>
          <w:color w:val="auto"/>
          <w:highlight w:val="none"/>
          <w:u w:val="none"/>
        </w:rPr>
        <w:fldChar w:fldCharType="end"/>
      </w:r>
      <w:r>
        <w:rPr>
          <w:rFonts w:hint="default" w:ascii="Times New Roman" w:hAnsi="Times New Roman" w:eastAsia="方正小标宋简体" w:cs="Times New Roman"/>
          <w:b w:val="0"/>
          <w:bCs/>
          <w:color w:val="auto"/>
          <w:szCs w:val="30"/>
          <w:highlight w:val="none"/>
          <w:u w:val="none"/>
        </w:rPr>
        <w:fldChar w:fldCharType="end"/>
      </w:r>
    </w:p>
    <w:p>
      <w:pPr>
        <w:pStyle w:val="5"/>
        <w:tabs>
          <w:tab w:val="right" w:leader="dot" w:pos="8732"/>
          <w:tab w:val="clear" w:pos="8948"/>
        </w:tabs>
        <w:spacing w:line="560" w:lineRule="exact"/>
        <w:ind w:left="0"/>
        <w:rPr>
          <w:rFonts w:hint="default" w:ascii="Times New Roman" w:hAnsi="Times New Roman" w:eastAsia="楷体_GB2312" w:cs="Times New Roman"/>
          <w:b w:val="0"/>
          <w:bCs/>
          <w:color w:val="auto"/>
          <w:sz w:val="30"/>
          <w:szCs w:val="30"/>
          <w:highlight w:val="none"/>
          <w:u w:val="none"/>
        </w:rPr>
        <w:sectPr>
          <w:footerReference r:id="rId6" w:type="default"/>
          <w:pgSz w:w="11906" w:h="16838"/>
          <w:pgMar w:top="2098" w:right="1587" w:bottom="1587" w:left="1587" w:header="851" w:footer="992" w:gutter="0"/>
          <w:pgNumType w:fmt="numberInDash" w:start="1"/>
          <w:cols w:space="720" w:num="1"/>
          <w:docGrid w:type="lines" w:linePitch="312" w:charSpace="0"/>
        </w:sectPr>
      </w:pPr>
    </w:p>
    <w:p>
      <w:pPr>
        <w:pStyle w:val="5"/>
        <w:tabs>
          <w:tab w:val="right" w:leader="dot" w:pos="8732"/>
          <w:tab w:val="clear" w:pos="8948"/>
        </w:tabs>
        <w:spacing w:line="560" w:lineRule="exact"/>
        <w:ind w:left="0"/>
        <w:rPr>
          <w:rFonts w:hint="default" w:ascii="Times New Roman" w:hAnsi="Times New Roman" w:eastAsia="楷体_GB2312" w:cs="Times New Roman"/>
          <w:b w:val="0"/>
          <w:bCs/>
          <w:color w:val="auto"/>
          <w:sz w:val="30"/>
          <w:szCs w:val="30"/>
          <w:highlight w:val="none"/>
          <w:u w:val="none"/>
        </w:rPr>
      </w:pPr>
      <w:r>
        <w:rPr>
          <w:rFonts w:hint="default" w:ascii="Times New Roman" w:hAnsi="Times New Roman" w:eastAsia="楷体_GB2312" w:cs="Times New Roman"/>
          <w:b w:val="0"/>
          <w:bCs/>
          <w:color w:val="auto"/>
          <w:sz w:val="30"/>
          <w:szCs w:val="30"/>
          <w:highlight w:val="none"/>
          <w:u w:val="none"/>
        </w:rPr>
        <w:fldChar w:fldCharType="begin"/>
      </w:r>
      <w:r>
        <w:rPr>
          <w:rFonts w:hint="default" w:ascii="Times New Roman" w:hAnsi="Times New Roman" w:eastAsia="楷体_GB2312" w:cs="Times New Roman"/>
          <w:b w:val="0"/>
          <w:bCs/>
          <w:color w:val="auto"/>
          <w:sz w:val="30"/>
          <w:szCs w:val="30"/>
          <w:highlight w:val="none"/>
          <w:u w:val="none"/>
        </w:rPr>
        <w:instrText xml:space="preserve"> HYPERLINK \l _Toc16023 </w:instrText>
      </w:r>
      <w:r>
        <w:rPr>
          <w:rFonts w:hint="default" w:ascii="Times New Roman" w:hAnsi="Times New Roman" w:eastAsia="楷体_GB2312" w:cs="Times New Roman"/>
          <w:b w:val="0"/>
          <w:bCs/>
          <w:color w:val="auto"/>
          <w:sz w:val="30"/>
          <w:szCs w:val="30"/>
          <w:highlight w:val="none"/>
          <w:u w:val="none"/>
        </w:rPr>
        <w:fldChar w:fldCharType="separate"/>
      </w:r>
      <w:r>
        <w:rPr>
          <w:rFonts w:hint="default" w:ascii="Times New Roman" w:hAnsi="Times New Roman" w:eastAsia="楷体_GB2312" w:cs="Times New Roman"/>
          <w:b w:val="0"/>
          <w:bCs/>
          <w:color w:val="auto"/>
          <w:sz w:val="30"/>
          <w:szCs w:val="30"/>
          <w:highlight w:val="none"/>
          <w:u w:val="none"/>
        </w:rPr>
        <w:t>第</w:t>
      </w:r>
      <w:r>
        <w:rPr>
          <w:rFonts w:hint="default" w:ascii="Times New Roman" w:hAnsi="Times New Roman" w:eastAsia="楷体_GB2312" w:cs="Times New Roman"/>
          <w:b w:val="0"/>
          <w:bCs/>
          <w:color w:val="auto"/>
          <w:sz w:val="30"/>
          <w:szCs w:val="30"/>
          <w:highlight w:val="none"/>
          <w:u w:val="none"/>
          <w:lang w:eastAsia="zh-CN"/>
        </w:rPr>
        <w:t>一</w:t>
      </w:r>
      <w:r>
        <w:rPr>
          <w:rFonts w:hint="default" w:ascii="Times New Roman" w:hAnsi="Times New Roman" w:eastAsia="楷体_GB2312" w:cs="Times New Roman"/>
          <w:b w:val="0"/>
          <w:bCs/>
          <w:color w:val="auto"/>
          <w:sz w:val="30"/>
          <w:szCs w:val="30"/>
          <w:highlight w:val="none"/>
          <w:u w:val="none"/>
        </w:rPr>
        <w:t>节 强化</w:t>
      </w:r>
      <w:r>
        <w:rPr>
          <w:rFonts w:hint="default" w:ascii="Times New Roman" w:hAnsi="Times New Roman" w:eastAsia="楷体_GB2312" w:cs="Times New Roman"/>
          <w:b w:val="0"/>
          <w:bCs/>
          <w:color w:val="auto"/>
          <w:sz w:val="30"/>
          <w:szCs w:val="30"/>
          <w:highlight w:val="none"/>
          <w:u w:val="none"/>
          <w:shd w:val="clear" w:color="auto" w:fill="auto"/>
        </w:rPr>
        <w:t>两</w:t>
      </w:r>
      <w:r>
        <w:rPr>
          <w:rFonts w:hint="default" w:ascii="Times New Roman" w:hAnsi="Times New Roman" w:eastAsia="楷体_GB2312" w:cs="Times New Roman"/>
          <w:b w:val="0"/>
          <w:bCs/>
          <w:color w:val="auto"/>
          <w:sz w:val="30"/>
          <w:szCs w:val="30"/>
          <w:highlight w:val="none"/>
          <w:u w:val="none"/>
        </w:rPr>
        <w:t>定机构管理</w:t>
      </w:r>
      <w:r>
        <w:rPr>
          <w:rFonts w:hint="default" w:ascii="Times New Roman" w:hAnsi="Times New Roman" w:eastAsia="楷体_GB2312" w:cs="Times New Roman"/>
          <w:b w:val="0"/>
          <w:bCs/>
          <w:color w:val="auto"/>
          <w:sz w:val="30"/>
          <w:szCs w:val="30"/>
          <w:highlight w:val="none"/>
          <w:u w:val="none"/>
        </w:rPr>
        <w:tab/>
      </w:r>
      <w:r>
        <w:rPr>
          <w:rFonts w:hint="default" w:ascii="Times New Roman" w:hAnsi="Times New Roman" w:eastAsia="楷体_GB2312" w:cs="Times New Roman"/>
          <w:b w:val="0"/>
          <w:bCs/>
          <w:color w:val="auto"/>
          <w:sz w:val="30"/>
          <w:szCs w:val="30"/>
          <w:highlight w:val="none"/>
          <w:u w:val="none"/>
        </w:rPr>
        <w:fldChar w:fldCharType="begin"/>
      </w:r>
      <w:r>
        <w:rPr>
          <w:rFonts w:hint="default" w:ascii="Times New Roman" w:hAnsi="Times New Roman" w:eastAsia="楷体_GB2312" w:cs="Times New Roman"/>
          <w:b w:val="0"/>
          <w:bCs/>
          <w:color w:val="auto"/>
          <w:sz w:val="30"/>
          <w:szCs w:val="30"/>
          <w:highlight w:val="none"/>
          <w:u w:val="none"/>
        </w:rPr>
        <w:instrText xml:space="preserve"> PAGEREF _Toc16023 \h </w:instrText>
      </w:r>
      <w:r>
        <w:rPr>
          <w:rFonts w:hint="default" w:ascii="Times New Roman" w:hAnsi="Times New Roman" w:eastAsia="楷体_GB2312" w:cs="Times New Roman"/>
          <w:b w:val="0"/>
          <w:bCs/>
          <w:color w:val="auto"/>
          <w:sz w:val="30"/>
          <w:szCs w:val="30"/>
          <w:highlight w:val="none"/>
          <w:u w:val="none"/>
        </w:rPr>
        <w:fldChar w:fldCharType="separate"/>
      </w:r>
      <w:r>
        <w:rPr>
          <w:rFonts w:hint="default" w:ascii="Times New Roman" w:hAnsi="Times New Roman" w:eastAsia="楷体_GB2312" w:cs="Times New Roman"/>
          <w:b w:val="0"/>
          <w:bCs/>
          <w:color w:val="auto"/>
          <w:sz w:val="30"/>
          <w:szCs w:val="30"/>
          <w:highlight w:val="none"/>
          <w:u w:val="none"/>
        </w:rPr>
        <w:t>20</w:t>
      </w:r>
      <w:r>
        <w:rPr>
          <w:rFonts w:hint="default" w:ascii="Times New Roman" w:hAnsi="Times New Roman" w:eastAsia="楷体_GB2312" w:cs="Times New Roman"/>
          <w:b w:val="0"/>
          <w:bCs/>
          <w:color w:val="auto"/>
          <w:sz w:val="30"/>
          <w:szCs w:val="30"/>
          <w:highlight w:val="none"/>
          <w:u w:val="none"/>
        </w:rPr>
        <w:fldChar w:fldCharType="end"/>
      </w:r>
      <w:r>
        <w:rPr>
          <w:rFonts w:hint="default" w:ascii="Times New Roman" w:hAnsi="Times New Roman" w:eastAsia="楷体_GB2312" w:cs="Times New Roman"/>
          <w:b w:val="0"/>
          <w:bCs/>
          <w:color w:val="auto"/>
          <w:sz w:val="30"/>
          <w:szCs w:val="30"/>
          <w:highlight w:val="none"/>
          <w:u w:val="none"/>
        </w:rPr>
        <w:fldChar w:fldCharType="end"/>
      </w:r>
    </w:p>
    <w:p>
      <w:pPr>
        <w:pStyle w:val="10"/>
        <w:tabs>
          <w:tab w:val="right" w:leader="dot" w:pos="8732"/>
          <w:tab w:val="clear" w:pos="8948"/>
        </w:tabs>
        <w:spacing w:line="560" w:lineRule="exact"/>
        <w:ind w:left="0" w:leftChars="0"/>
        <w:rPr>
          <w:rFonts w:hint="default" w:ascii="Times New Roman" w:hAnsi="Times New Roman" w:eastAsia="楷体_GB2312" w:cs="Times New Roman"/>
          <w:b w:val="0"/>
          <w:bCs/>
          <w:color w:val="auto"/>
          <w:highlight w:val="none"/>
          <w:u w:val="none"/>
        </w:rPr>
      </w:pPr>
      <w:r>
        <w:rPr>
          <w:rFonts w:hint="default" w:ascii="Times New Roman" w:hAnsi="Times New Roman" w:eastAsia="楷体_GB2312" w:cs="Times New Roman"/>
          <w:b w:val="0"/>
          <w:bCs/>
          <w:color w:val="auto"/>
          <w:szCs w:val="30"/>
          <w:highlight w:val="none"/>
          <w:u w:val="none"/>
        </w:rPr>
        <w:fldChar w:fldCharType="begin"/>
      </w:r>
      <w:r>
        <w:rPr>
          <w:rFonts w:hint="default" w:ascii="Times New Roman" w:hAnsi="Times New Roman" w:eastAsia="楷体_GB2312" w:cs="Times New Roman"/>
          <w:b w:val="0"/>
          <w:bCs/>
          <w:color w:val="auto"/>
          <w:szCs w:val="30"/>
          <w:highlight w:val="none"/>
          <w:u w:val="none"/>
        </w:rPr>
        <w:instrText xml:space="preserve"> HYPERLINK \l _Toc1671 </w:instrText>
      </w:r>
      <w:r>
        <w:rPr>
          <w:rFonts w:hint="default" w:ascii="Times New Roman" w:hAnsi="Times New Roman" w:eastAsia="楷体_GB2312" w:cs="Times New Roman"/>
          <w:b w:val="0"/>
          <w:bCs/>
          <w:color w:val="auto"/>
          <w:szCs w:val="30"/>
          <w:highlight w:val="none"/>
          <w:u w:val="none"/>
        </w:rPr>
        <w:fldChar w:fldCharType="separate"/>
      </w:r>
      <w:r>
        <w:rPr>
          <w:rFonts w:hint="default" w:ascii="Times New Roman" w:hAnsi="Times New Roman" w:eastAsia="楷体_GB2312" w:cs="Times New Roman"/>
          <w:b w:val="0"/>
          <w:bCs/>
          <w:color w:val="auto"/>
          <w:szCs w:val="30"/>
          <w:highlight w:val="none"/>
          <w:u w:val="none"/>
        </w:rPr>
        <w:t>第</w:t>
      </w:r>
      <w:r>
        <w:rPr>
          <w:rFonts w:hint="default" w:ascii="Times New Roman" w:hAnsi="Times New Roman" w:eastAsia="楷体_GB2312" w:cs="Times New Roman"/>
          <w:b w:val="0"/>
          <w:bCs/>
          <w:color w:val="auto"/>
          <w:szCs w:val="30"/>
          <w:highlight w:val="none"/>
          <w:u w:val="none"/>
          <w:lang w:eastAsia="zh-CN"/>
        </w:rPr>
        <w:t>二</w:t>
      </w:r>
      <w:r>
        <w:rPr>
          <w:rFonts w:hint="default" w:ascii="Times New Roman" w:hAnsi="Times New Roman" w:eastAsia="楷体_GB2312" w:cs="Times New Roman"/>
          <w:b w:val="0"/>
          <w:bCs/>
          <w:color w:val="auto"/>
          <w:szCs w:val="30"/>
          <w:highlight w:val="none"/>
          <w:u w:val="none"/>
        </w:rPr>
        <w:t>节 深化医保支付方式改革</w:t>
      </w:r>
      <w:r>
        <w:rPr>
          <w:rFonts w:hint="default" w:ascii="Times New Roman" w:hAnsi="Times New Roman" w:eastAsia="楷体_GB2312" w:cs="Times New Roman"/>
          <w:b w:val="0"/>
          <w:bCs/>
          <w:color w:val="auto"/>
          <w:highlight w:val="none"/>
          <w:u w:val="none"/>
        </w:rPr>
        <w:tab/>
      </w:r>
      <w:r>
        <w:rPr>
          <w:rFonts w:hint="default" w:ascii="Times New Roman" w:hAnsi="Times New Roman" w:eastAsia="楷体_GB2312" w:cs="Times New Roman"/>
          <w:b w:val="0"/>
          <w:bCs/>
          <w:color w:val="auto"/>
          <w:highlight w:val="none"/>
          <w:u w:val="none"/>
        </w:rPr>
        <w:fldChar w:fldCharType="begin"/>
      </w:r>
      <w:r>
        <w:rPr>
          <w:rFonts w:hint="default" w:ascii="Times New Roman" w:hAnsi="Times New Roman" w:eastAsia="楷体_GB2312" w:cs="Times New Roman"/>
          <w:b w:val="0"/>
          <w:bCs/>
          <w:color w:val="auto"/>
          <w:highlight w:val="none"/>
          <w:u w:val="none"/>
        </w:rPr>
        <w:instrText xml:space="preserve"> PAGEREF _Toc1671 \h </w:instrText>
      </w:r>
      <w:r>
        <w:rPr>
          <w:rFonts w:hint="default" w:ascii="Times New Roman" w:hAnsi="Times New Roman" w:eastAsia="楷体_GB2312" w:cs="Times New Roman"/>
          <w:b w:val="0"/>
          <w:bCs/>
          <w:color w:val="auto"/>
          <w:highlight w:val="none"/>
          <w:u w:val="none"/>
        </w:rPr>
        <w:fldChar w:fldCharType="separate"/>
      </w:r>
      <w:r>
        <w:rPr>
          <w:rFonts w:hint="default" w:ascii="Times New Roman" w:hAnsi="Times New Roman" w:eastAsia="楷体_GB2312" w:cs="Times New Roman"/>
          <w:b w:val="0"/>
          <w:bCs/>
          <w:color w:val="auto"/>
          <w:highlight w:val="none"/>
          <w:u w:val="none"/>
        </w:rPr>
        <w:t>21</w:t>
      </w:r>
      <w:r>
        <w:rPr>
          <w:rFonts w:hint="default" w:ascii="Times New Roman" w:hAnsi="Times New Roman" w:eastAsia="楷体_GB2312" w:cs="Times New Roman"/>
          <w:b w:val="0"/>
          <w:bCs/>
          <w:color w:val="auto"/>
          <w:highlight w:val="none"/>
          <w:u w:val="none"/>
        </w:rPr>
        <w:fldChar w:fldCharType="end"/>
      </w:r>
      <w:r>
        <w:rPr>
          <w:rFonts w:hint="default" w:ascii="Times New Roman" w:hAnsi="Times New Roman" w:eastAsia="楷体_GB2312" w:cs="Times New Roman"/>
          <w:b w:val="0"/>
          <w:bCs/>
          <w:color w:val="auto"/>
          <w:szCs w:val="30"/>
          <w:highlight w:val="none"/>
          <w:u w:val="none"/>
        </w:rPr>
        <w:fldChar w:fldCharType="end"/>
      </w:r>
    </w:p>
    <w:p>
      <w:pPr>
        <w:pStyle w:val="10"/>
        <w:tabs>
          <w:tab w:val="right" w:leader="dot" w:pos="8732"/>
          <w:tab w:val="clear" w:pos="8948"/>
        </w:tabs>
        <w:spacing w:line="560" w:lineRule="exact"/>
        <w:ind w:left="0" w:leftChars="0"/>
        <w:rPr>
          <w:rFonts w:hint="default" w:ascii="Times New Roman" w:hAnsi="Times New Roman" w:eastAsia="楷体_GB2312" w:cs="Times New Roman"/>
          <w:b w:val="0"/>
          <w:bCs/>
          <w:color w:val="auto"/>
          <w:highlight w:val="none"/>
          <w:u w:val="none"/>
        </w:rPr>
      </w:pPr>
      <w:r>
        <w:rPr>
          <w:rFonts w:hint="default" w:ascii="Times New Roman" w:hAnsi="Times New Roman" w:eastAsia="楷体_GB2312" w:cs="Times New Roman"/>
          <w:b w:val="0"/>
          <w:bCs/>
          <w:color w:val="auto"/>
          <w:szCs w:val="30"/>
          <w:highlight w:val="none"/>
          <w:u w:val="none"/>
        </w:rPr>
        <w:fldChar w:fldCharType="begin"/>
      </w:r>
      <w:r>
        <w:rPr>
          <w:rFonts w:hint="default" w:ascii="Times New Roman" w:hAnsi="Times New Roman" w:eastAsia="楷体_GB2312" w:cs="Times New Roman"/>
          <w:b w:val="0"/>
          <w:bCs/>
          <w:color w:val="auto"/>
          <w:szCs w:val="30"/>
          <w:highlight w:val="none"/>
          <w:u w:val="none"/>
        </w:rPr>
        <w:instrText xml:space="preserve"> HYPERLINK \l _Toc16300 </w:instrText>
      </w:r>
      <w:r>
        <w:rPr>
          <w:rFonts w:hint="default" w:ascii="Times New Roman" w:hAnsi="Times New Roman" w:eastAsia="楷体_GB2312" w:cs="Times New Roman"/>
          <w:b w:val="0"/>
          <w:bCs/>
          <w:color w:val="auto"/>
          <w:szCs w:val="30"/>
          <w:highlight w:val="none"/>
          <w:u w:val="none"/>
        </w:rPr>
        <w:fldChar w:fldCharType="separate"/>
      </w:r>
      <w:r>
        <w:rPr>
          <w:rFonts w:hint="default" w:ascii="Times New Roman" w:hAnsi="Times New Roman" w:eastAsia="方正小标宋简体" w:cs="Times New Roman"/>
          <w:b w:val="0"/>
          <w:bCs/>
          <w:color w:val="auto"/>
          <w:szCs w:val="30"/>
          <w:highlight w:val="none"/>
          <w:u w:val="none"/>
        </w:rPr>
        <w:t>第六章 健全严密有力的基金监管机制</w:t>
      </w:r>
      <w:r>
        <w:rPr>
          <w:rFonts w:hint="default" w:ascii="Times New Roman" w:hAnsi="Times New Roman" w:eastAsia="方正小标宋简体" w:cs="Times New Roman"/>
          <w:b w:val="0"/>
          <w:bCs/>
          <w:color w:val="auto"/>
          <w:highlight w:val="none"/>
          <w:u w:val="none"/>
        </w:rPr>
        <w:tab/>
      </w:r>
      <w:r>
        <w:rPr>
          <w:rFonts w:hint="default" w:ascii="Times New Roman" w:hAnsi="Times New Roman" w:eastAsia="方正小标宋简体" w:cs="Times New Roman"/>
          <w:b w:val="0"/>
          <w:bCs/>
          <w:color w:val="auto"/>
          <w:highlight w:val="none"/>
          <w:u w:val="none"/>
        </w:rPr>
        <w:fldChar w:fldCharType="begin"/>
      </w:r>
      <w:r>
        <w:rPr>
          <w:rFonts w:hint="default" w:ascii="Times New Roman" w:hAnsi="Times New Roman" w:eastAsia="方正小标宋简体" w:cs="Times New Roman"/>
          <w:b w:val="0"/>
          <w:bCs/>
          <w:color w:val="auto"/>
          <w:highlight w:val="none"/>
          <w:u w:val="none"/>
        </w:rPr>
        <w:instrText xml:space="preserve"> PAGEREF _Toc16300 \h </w:instrText>
      </w:r>
      <w:r>
        <w:rPr>
          <w:rFonts w:hint="default" w:ascii="Times New Roman" w:hAnsi="Times New Roman" w:eastAsia="方正小标宋简体" w:cs="Times New Roman"/>
          <w:b w:val="0"/>
          <w:bCs/>
          <w:color w:val="auto"/>
          <w:highlight w:val="none"/>
          <w:u w:val="none"/>
        </w:rPr>
        <w:fldChar w:fldCharType="separate"/>
      </w:r>
      <w:r>
        <w:rPr>
          <w:rFonts w:hint="default" w:ascii="Times New Roman" w:hAnsi="Times New Roman" w:eastAsia="方正小标宋简体" w:cs="Times New Roman"/>
          <w:b w:val="0"/>
          <w:bCs/>
          <w:color w:val="auto"/>
          <w:highlight w:val="none"/>
          <w:u w:val="none"/>
        </w:rPr>
        <w:t>23</w:t>
      </w:r>
      <w:r>
        <w:rPr>
          <w:rFonts w:hint="default" w:ascii="Times New Roman" w:hAnsi="Times New Roman" w:eastAsia="方正小标宋简体" w:cs="Times New Roman"/>
          <w:b w:val="0"/>
          <w:bCs/>
          <w:color w:val="auto"/>
          <w:highlight w:val="none"/>
          <w:u w:val="none"/>
        </w:rPr>
        <w:fldChar w:fldCharType="end"/>
      </w:r>
      <w:r>
        <w:rPr>
          <w:rFonts w:hint="default" w:ascii="Times New Roman" w:hAnsi="Times New Roman" w:eastAsia="楷体_GB2312" w:cs="Times New Roman"/>
          <w:b w:val="0"/>
          <w:bCs/>
          <w:color w:val="auto"/>
          <w:szCs w:val="30"/>
          <w:highlight w:val="none"/>
          <w:u w:val="none"/>
        </w:rPr>
        <w:fldChar w:fldCharType="end"/>
      </w:r>
    </w:p>
    <w:p>
      <w:pPr>
        <w:pStyle w:val="5"/>
        <w:tabs>
          <w:tab w:val="right" w:leader="dot" w:pos="8732"/>
          <w:tab w:val="clear" w:pos="8948"/>
        </w:tabs>
        <w:spacing w:line="560" w:lineRule="exact"/>
        <w:ind w:left="0"/>
        <w:rPr>
          <w:rFonts w:hint="default" w:ascii="Times New Roman" w:hAnsi="Times New Roman" w:eastAsia="楷体_GB2312" w:cs="Times New Roman"/>
          <w:b w:val="0"/>
          <w:bCs/>
          <w:color w:val="auto"/>
          <w:sz w:val="30"/>
          <w:szCs w:val="30"/>
          <w:highlight w:val="none"/>
          <w:u w:val="none"/>
        </w:rPr>
      </w:pPr>
      <w:r>
        <w:rPr>
          <w:rFonts w:hint="default" w:ascii="Times New Roman" w:hAnsi="Times New Roman" w:eastAsia="楷体_GB2312" w:cs="Times New Roman"/>
          <w:b w:val="0"/>
          <w:bCs/>
          <w:color w:val="auto"/>
          <w:sz w:val="30"/>
          <w:szCs w:val="30"/>
          <w:highlight w:val="none"/>
          <w:u w:val="none"/>
        </w:rPr>
        <w:fldChar w:fldCharType="begin"/>
      </w:r>
      <w:r>
        <w:rPr>
          <w:rFonts w:hint="default" w:ascii="Times New Roman" w:hAnsi="Times New Roman" w:eastAsia="楷体_GB2312" w:cs="Times New Roman"/>
          <w:b w:val="0"/>
          <w:bCs/>
          <w:color w:val="auto"/>
          <w:sz w:val="30"/>
          <w:szCs w:val="30"/>
          <w:highlight w:val="none"/>
          <w:u w:val="none"/>
        </w:rPr>
        <w:instrText xml:space="preserve"> HYPERLINK \l _Toc9134 </w:instrText>
      </w:r>
      <w:r>
        <w:rPr>
          <w:rFonts w:hint="default" w:ascii="Times New Roman" w:hAnsi="Times New Roman" w:eastAsia="楷体_GB2312" w:cs="Times New Roman"/>
          <w:b w:val="0"/>
          <w:bCs/>
          <w:color w:val="auto"/>
          <w:sz w:val="30"/>
          <w:szCs w:val="30"/>
          <w:highlight w:val="none"/>
          <w:u w:val="none"/>
        </w:rPr>
        <w:fldChar w:fldCharType="separate"/>
      </w:r>
      <w:r>
        <w:rPr>
          <w:rFonts w:hint="default" w:ascii="Times New Roman" w:hAnsi="Times New Roman" w:eastAsia="楷体_GB2312" w:cs="Times New Roman"/>
          <w:b w:val="0"/>
          <w:bCs/>
          <w:color w:val="auto"/>
          <w:sz w:val="30"/>
          <w:szCs w:val="30"/>
          <w:highlight w:val="none"/>
          <w:u w:val="none"/>
        </w:rPr>
        <w:t>第一节 创新医疗保障基金监管方式</w:t>
      </w:r>
      <w:r>
        <w:rPr>
          <w:rFonts w:hint="default" w:ascii="Times New Roman" w:hAnsi="Times New Roman" w:eastAsia="楷体_GB2312" w:cs="Times New Roman"/>
          <w:b w:val="0"/>
          <w:bCs/>
          <w:color w:val="auto"/>
          <w:sz w:val="30"/>
          <w:szCs w:val="30"/>
          <w:highlight w:val="none"/>
          <w:u w:val="none"/>
        </w:rPr>
        <w:tab/>
      </w:r>
      <w:r>
        <w:rPr>
          <w:rFonts w:hint="default" w:ascii="Times New Roman" w:hAnsi="Times New Roman" w:eastAsia="楷体_GB2312" w:cs="Times New Roman"/>
          <w:b w:val="0"/>
          <w:bCs/>
          <w:color w:val="auto"/>
          <w:sz w:val="30"/>
          <w:szCs w:val="30"/>
          <w:highlight w:val="none"/>
          <w:u w:val="none"/>
        </w:rPr>
        <w:fldChar w:fldCharType="begin"/>
      </w:r>
      <w:r>
        <w:rPr>
          <w:rFonts w:hint="default" w:ascii="Times New Roman" w:hAnsi="Times New Roman" w:eastAsia="楷体_GB2312" w:cs="Times New Roman"/>
          <w:b w:val="0"/>
          <w:bCs/>
          <w:color w:val="auto"/>
          <w:sz w:val="30"/>
          <w:szCs w:val="30"/>
          <w:highlight w:val="none"/>
          <w:u w:val="none"/>
        </w:rPr>
        <w:instrText xml:space="preserve"> PAGEREF _Toc9134 \h </w:instrText>
      </w:r>
      <w:r>
        <w:rPr>
          <w:rFonts w:hint="default" w:ascii="Times New Roman" w:hAnsi="Times New Roman" w:eastAsia="楷体_GB2312" w:cs="Times New Roman"/>
          <w:b w:val="0"/>
          <w:bCs/>
          <w:color w:val="auto"/>
          <w:sz w:val="30"/>
          <w:szCs w:val="30"/>
          <w:highlight w:val="none"/>
          <w:u w:val="none"/>
        </w:rPr>
        <w:fldChar w:fldCharType="separate"/>
      </w:r>
      <w:r>
        <w:rPr>
          <w:rFonts w:hint="default" w:ascii="Times New Roman" w:hAnsi="Times New Roman" w:eastAsia="楷体_GB2312" w:cs="Times New Roman"/>
          <w:b w:val="0"/>
          <w:bCs/>
          <w:color w:val="auto"/>
          <w:sz w:val="30"/>
          <w:szCs w:val="30"/>
          <w:highlight w:val="none"/>
          <w:u w:val="none"/>
        </w:rPr>
        <w:t>23</w:t>
      </w:r>
      <w:r>
        <w:rPr>
          <w:rFonts w:hint="default" w:ascii="Times New Roman" w:hAnsi="Times New Roman" w:eastAsia="楷体_GB2312" w:cs="Times New Roman"/>
          <w:b w:val="0"/>
          <w:bCs/>
          <w:color w:val="auto"/>
          <w:sz w:val="30"/>
          <w:szCs w:val="30"/>
          <w:highlight w:val="none"/>
          <w:u w:val="none"/>
        </w:rPr>
        <w:fldChar w:fldCharType="end"/>
      </w:r>
      <w:r>
        <w:rPr>
          <w:rFonts w:hint="default" w:ascii="Times New Roman" w:hAnsi="Times New Roman" w:eastAsia="楷体_GB2312" w:cs="Times New Roman"/>
          <w:b w:val="0"/>
          <w:bCs/>
          <w:color w:val="auto"/>
          <w:sz w:val="30"/>
          <w:szCs w:val="30"/>
          <w:highlight w:val="none"/>
          <w:u w:val="none"/>
        </w:rPr>
        <w:fldChar w:fldCharType="end"/>
      </w:r>
    </w:p>
    <w:p>
      <w:pPr>
        <w:pStyle w:val="5"/>
        <w:tabs>
          <w:tab w:val="right" w:leader="dot" w:pos="8732"/>
          <w:tab w:val="clear" w:pos="8948"/>
        </w:tabs>
        <w:spacing w:line="560" w:lineRule="exact"/>
        <w:ind w:left="0"/>
        <w:rPr>
          <w:rFonts w:hint="default" w:ascii="Times New Roman" w:hAnsi="Times New Roman" w:eastAsia="楷体_GB2312" w:cs="Times New Roman"/>
          <w:b w:val="0"/>
          <w:bCs/>
          <w:color w:val="auto"/>
          <w:sz w:val="30"/>
          <w:szCs w:val="30"/>
          <w:highlight w:val="none"/>
          <w:u w:val="none"/>
        </w:rPr>
      </w:pPr>
      <w:r>
        <w:rPr>
          <w:rFonts w:hint="default" w:ascii="Times New Roman" w:hAnsi="Times New Roman" w:eastAsia="楷体_GB2312" w:cs="Times New Roman"/>
          <w:b w:val="0"/>
          <w:bCs/>
          <w:color w:val="auto"/>
          <w:sz w:val="30"/>
          <w:szCs w:val="30"/>
          <w:highlight w:val="none"/>
          <w:u w:val="none"/>
        </w:rPr>
        <w:fldChar w:fldCharType="begin"/>
      </w:r>
      <w:r>
        <w:rPr>
          <w:rFonts w:hint="default" w:ascii="Times New Roman" w:hAnsi="Times New Roman" w:eastAsia="楷体_GB2312" w:cs="Times New Roman"/>
          <w:b w:val="0"/>
          <w:bCs/>
          <w:color w:val="auto"/>
          <w:sz w:val="30"/>
          <w:szCs w:val="30"/>
          <w:highlight w:val="none"/>
          <w:u w:val="none"/>
        </w:rPr>
        <w:instrText xml:space="preserve"> HYPERLINK \l _Toc22711 </w:instrText>
      </w:r>
      <w:r>
        <w:rPr>
          <w:rFonts w:hint="default" w:ascii="Times New Roman" w:hAnsi="Times New Roman" w:eastAsia="楷体_GB2312" w:cs="Times New Roman"/>
          <w:b w:val="0"/>
          <w:bCs/>
          <w:color w:val="auto"/>
          <w:sz w:val="30"/>
          <w:szCs w:val="30"/>
          <w:highlight w:val="none"/>
          <w:u w:val="none"/>
        </w:rPr>
        <w:fldChar w:fldCharType="separate"/>
      </w:r>
      <w:r>
        <w:rPr>
          <w:rFonts w:hint="default" w:ascii="Times New Roman" w:hAnsi="Times New Roman" w:eastAsia="楷体_GB2312" w:cs="Times New Roman"/>
          <w:b w:val="0"/>
          <w:bCs/>
          <w:color w:val="auto"/>
          <w:sz w:val="30"/>
          <w:szCs w:val="30"/>
          <w:highlight w:val="none"/>
          <w:u w:val="none"/>
        </w:rPr>
        <w:t>第二节 发展医疗保障基金智能监控</w:t>
      </w:r>
      <w:r>
        <w:rPr>
          <w:rFonts w:hint="default" w:ascii="Times New Roman" w:hAnsi="Times New Roman" w:eastAsia="楷体_GB2312" w:cs="Times New Roman"/>
          <w:b w:val="0"/>
          <w:bCs/>
          <w:color w:val="auto"/>
          <w:sz w:val="30"/>
          <w:szCs w:val="30"/>
          <w:highlight w:val="none"/>
          <w:u w:val="none"/>
        </w:rPr>
        <w:tab/>
      </w:r>
      <w:r>
        <w:rPr>
          <w:rFonts w:hint="default" w:ascii="Times New Roman" w:hAnsi="Times New Roman" w:eastAsia="楷体_GB2312" w:cs="Times New Roman"/>
          <w:b w:val="0"/>
          <w:bCs/>
          <w:color w:val="auto"/>
          <w:sz w:val="30"/>
          <w:szCs w:val="30"/>
          <w:highlight w:val="none"/>
          <w:u w:val="none"/>
        </w:rPr>
        <w:fldChar w:fldCharType="begin"/>
      </w:r>
      <w:r>
        <w:rPr>
          <w:rFonts w:hint="default" w:ascii="Times New Roman" w:hAnsi="Times New Roman" w:eastAsia="楷体_GB2312" w:cs="Times New Roman"/>
          <w:b w:val="0"/>
          <w:bCs/>
          <w:color w:val="auto"/>
          <w:sz w:val="30"/>
          <w:szCs w:val="30"/>
          <w:highlight w:val="none"/>
          <w:u w:val="none"/>
        </w:rPr>
        <w:instrText xml:space="preserve"> PAGEREF _Toc22711 \h </w:instrText>
      </w:r>
      <w:r>
        <w:rPr>
          <w:rFonts w:hint="default" w:ascii="Times New Roman" w:hAnsi="Times New Roman" w:eastAsia="楷体_GB2312" w:cs="Times New Roman"/>
          <w:b w:val="0"/>
          <w:bCs/>
          <w:color w:val="auto"/>
          <w:sz w:val="30"/>
          <w:szCs w:val="30"/>
          <w:highlight w:val="none"/>
          <w:u w:val="none"/>
        </w:rPr>
        <w:fldChar w:fldCharType="separate"/>
      </w:r>
      <w:r>
        <w:rPr>
          <w:rFonts w:hint="default" w:ascii="Times New Roman" w:hAnsi="Times New Roman" w:eastAsia="楷体_GB2312" w:cs="Times New Roman"/>
          <w:b w:val="0"/>
          <w:bCs/>
          <w:color w:val="auto"/>
          <w:sz w:val="30"/>
          <w:szCs w:val="30"/>
          <w:highlight w:val="none"/>
          <w:u w:val="none"/>
        </w:rPr>
        <w:t>24</w:t>
      </w:r>
      <w:r>
        <w:rPr>
          <w:rFonts w:hint="default" w:ascii="Times New Roman" w:hAnsi="Times New Roman" w:eastAsia="楷体_GB2312" w:cs="Times New Roman"/>
          <w:b w:val="0"/>
          <w:bCs/>
          <w:color w:val="auto"/>
          <w:sz w:val="30"/>
          <w:szCs w:val="30"/>
          <w:highlight w:val="none"/>
          <w:u w:val="none"/>
        </w:rPr>
        <w:fldChar w:fldCharType="end"/>
      </w:r>
      <w:r>
        <w:rPr>
          <w:rFonts w:hint="default" w:ascii="Times New Roman" w:hAnsi="Times New Roman" w:eastAsia="楷体_GB2312" w:cs="Times New Roman"/>
          <w:b w:val="0"/>
          <w:bCs/>
          <w:color w:val="auto"/>
          <w:sz w:val="30"/>
          <w:szCs w:val="30"/>
          <w:highlight w:val="none"/>
          <w:u w:val="none"/>
        </w:rPr>
        <w:fldChar w:fldCharType="end"/>
      </w:r>
    </w:p>
    <w:p>
      <w:pPr>
        <w:pStyle w:val="5"/>
        <w:tabs>
          <w:tab w:val="right" w:leader="dot" w:pos="8732"/>
          <w:tab w:val="clear" w:pos="8948"/>
        </w:tabs>
        <w:spacing w:line="560" w:lineRule="exact"/>
        <w:ind w:left="0"/>
        <w:rPr>
          <w:rFonts w:hint="default" w:ascii="Times New Roman" w:hAnsi="Times New Roman" w:eastAsia="楷体_GB2312" w:cs="Times New Roman"/>
          <w:b w:val="0"/>
          <w:bCs/>
          <w:color w:val="auto"/>
          <w:sz w:val="30"/>
          <w:szCs w:val="30"/>
          <w:highlight w:val="none"/>
          <w:u w:val="none"/>
        </w:rPr>
      </w:pPr>
      <w:r>
        <w:rPr>
          <w:rFonts w:hint="default" w:ascii="Times New Roman" w:hAnsi="Times New Roman" w:eastAsia="楷体_GB2312" w:cs="Times New Roman"/>
          <w:b w:val="0"/>
          <w:bCs/>
          <w:color w:val="auto"/>
          <w:sz w:val="30"/>
          <w:szCs w:val="30"/>
          <w:highlight w:val="none"/>
          <w:u w:val="none"/>
        </w:rPr>
        <w:fldChar w:fldCharType="begin"/>
      </w:r>
      <w:r>
        <w:rPr>
          <w:rFonts w:hint="default" w:ascii="Times New Roman" w:hAnsi="Times New Roman" w:eastAsia="楷体_GB2312" w:cs="Times New Roman"/>
          <w:b w:val="0"/>
          <w:bCs/>
          <w:color w:val="auto"/>
          <w:sz w:val="30"/>
          <w:szCs w:val="30"/>
          <w:highlight w:val="none"/>
          <w:u w:val="none"/>
        </w:rPr>
        <w:instrText xml:space="preserve"> HYPERLINK \l _Toc3418 </w:instrText>
      </w:r>
      <w:r>
        <w:rPr>
          <w:rFonts w:hint="default" w:ascii="Times New Roman" w:hAnsi="Times New Roman" w:eastAsia="楷体_GB2312" w:cs="Times New Roman"/>
          <w:b w:val="0"/>
          <w:bCs/>
          <w:color w:val="auto"/>
          <w:sz w:val="30"/>
          <w:szCs w:val="30"/>
          <w:highlight w:val="none"/>
          <w:u w:val="none"/>
        </w:rPr>
        <w:fldChar w:fldCharType="separate"/>
      </w:r>
      <w:r>
        <w:rPr>
          <w:rFonts w:hint="default" w:ascii="Times New Roman" w:hAnsi="Times New Roman" w:eastAsia="楷体_GB2312" w:cs="Times New Roman"/>
          <w:b w:val="0"/>
          <w:bCs/>
          <w:color w:val="auto"/>
          <w:sz w:val="30"/>
          <w:szCs w:val="30"/>
          <w:highlight w:val="none"/>
          <w:u w:val="none"/>
        </w:rPr>
        <w:t>第三节 建立信用评价体系</w:t>
      </w:r>
      <w:r>
        <w:rPr>
          <w:rFonts w:hint="default" w:ascii="Times New Roman" w:hAnsi="Times New Roman" w:eastAsia="楷体_GB2312" w:cs="Times New Roman"/>
          <w:b w:val="0"/>
          <w:bCs/>
          <w:color w:val="auto"/>
          <w:sz w:val="30"/>
          <w:szCs w:val="30"/>
          <w:highlight w:val="none"/>
          <w:u w:val="none"/>
        </w:rPr>
        <w:tab/>
      </w:r>
      <w:r>
        <w:rPr>
          <w:rFonts w:hint="default" w:ascii="Times New Roman" w:hAnsi="Times New Roman" w:eastAsia="楷体_GB2312" w:cs="Times New Roman"/>
          <w:b w:val="0"/>
          <w:bCs/>
          <w:color w:val="auto"/>
          <w:sz w:val="30"/>
          <w:szCs w:val="30"/>
          <w:highlight w:val="none"/>
          <w:u w:val="none"/>
        </w:rPr>
        <w:fldChar w:fldCharType="begin"/>
      </w:r>
      <w:r>
        <w:rPr>
          <w:rFonts w:hint="default" w:ascii="Times New Roman" w:hAnsi="Times New Roman" w:eastAsia="楷体_GB2312" w:cs="Times New Roman"/>
          <w:b w:val="0"/>
          <w:bCs/>
          <w:color w:val="auto"/>
          <w:sz w:val="30"/>
          <w:szCs w:val="30"/>
          <w:highlight w:val="none"/>
          <w:u w:val="none"/>
        </w:rPr>
        <w:instrText xml:space="preserve"> PAGEREF _Toc3418 \h </w:instrText>
      </w:r>
      <w:r>
        <w:rPr>
          <w:rFonts w:hint="default" w:ascii="Times New Roman" w:hAnsi="Times New Roman" w:eastAsia="楷体_GB2312" w:cs="Times New Roman"/>
          <w:b w:val="0"/>
          <w:bCs/>
          <w:color w:val="auto"/>
          <w:sz w:val="30"/>
          <w:szCs w:val="30"/>
          <w:highlight w:val="none"/>
          <w:u w:val="none"/>
        </w:rPr>
        <w:fldChar w:fldCharType="separate"/>
      </w:r>
      <w:r>
        <w:rPr>
          <w:rFonts w:hint="default" w:ascii="Times New Roman" w:hAnsi="Times New Roman" w:eastAsia="楷体_GB2312" w:cs="Times New Roman"/>
          <w:b w:val="0"/>
          <w:bCs/>
          <w:color w:val="auto"/>
          <w:sz w:val="30"/>
          <w:szCs w:val="30"/>
          <w:highlight w:val="none"/>
          <w:u w:val="none"/>
        </w:rPr>
        <w:t>25</w:t>
      </w:r>
      <w:r>
        <w:rPr>
          <w:rFonts w:hint="default" w:ascii="Times New Roman" w:hAnsi="Times New Roman" w:eastAsia="楷体_GB2312" w:cs="Times New Roman"/>
          <w:b w:val="0"/>
          <w:bCs/>
          <w:color w:val="auto"/>
          <w:sz w:val="30"/>
          <w:szCs w:val="30"/>
          <w:highlight w:val="none"/>
          <w:u w:val="none"/>
        </w:rPr>
        <w:fldChar w:fldCharType="end"/>
      </w:r>
      <w:r>
        <w:rPr>
          <w:rFonts w:hint="default" w:ascii="Times New Roman" w:hAnsi="Times New Roman" w:eastAsia="楷体_GB2312" w:cs="Times New Roman"/>
          <w:b w:val="0"/>
          <w:bCs/>
          <w:color w:val="auto"/>
          <w:sz w:val="30"/>
          <w:szCs w:val="30"/>
          <w:highlight w:val="none"/>
          <w:u w:val="none"/>
        </w:rPr>
        <w:fldChar w:fldCharType="end"/>
      </w:r>
    </w:p>
    <w:p>
      <w:pPr>
        <w:pStyle w:val="10"/>
        <w:tabs>
          <w:tab w:val="right" w:leader="dot" w:pos="8732"/>
          <w:tab w:val="clear" w:pos="8948"/>
        </w:tabs>
        <w:spacing w:line="560" w:lineRule="exact"/>
        <w:ind w:left="0" w:leftChars="0"/>
        <w:rPr>
          <w:rFonts w:hint="default" w:ascii="Times New Roman" w:hAnsi="Times New Roman" w:eastAsia="楷体_GB2312" w:cs="Times New Roman"/>
          <w:b w:val="0"/>
          <w:bCs/>
          <w:color w:val="auto"/>
          <w:highlight w:val="none"/>
          <w:u w:val="none"/>
        </w:rPr>
      </w:pPr>
      <w:r>
        <w:rPr>
          <w:rFonts w:hint="default" w:ascii="Times New Roman" w:hAnsi="Times New Roman" w:eastAsia="楷体_GB2312" w:cs="Times New Roman"/>
          <w:b w:val="0"/>
          <w:bCs/>
          <w:color w:val="auto"/>
          <w:szCs w:val="30"/>
          <w:highlight w:val="none"/>
          <w:u w:val="none"/>
        </w:rPr>
        <w:fldChar w:fldCharType="begin"/>
      </w:r>
      <w:r>
        <w:rPr>
          <w:rFonts w:hint="default" w:ascii="Times New Roman" w:hAnsi="Times New Roman" w:eastAsia="楷体_GB2312" w:cs="Times New Roman"/>
          <w:b w:val="0"/>
          <w:bCs/>
          <w:color w:val="auto"/>
          <w:szCs w:val="30"/>
          <w:highlight w:val="none"/>
          <w:u w:val="none"/>
        </w:rPr>
        <w:instrText xml:space="preserve"> HYPERLINK \l _Toc20331 </w:instrText>
      </w:r>
      <w:r>
        <w:rPr>
          <w:rFonts w:hint="default" w:ascii="Times New Roman" w:hAnsi="Times New Roman" w:eastAsia="楷体_GB2312" w:cs="Times New Roman"/>
          <w:b w:val="0"/>
          <w:bCs/>
          <w:color w:val="auto"/>
          <w:szCs w:val="30"/>
          <w:highlight w:val="none"/>
          <w:u w:val="none"/>
        </w:rPr>
        <w:fldChar w:fldCharType="separate"/>
      </w:r>
      <w:r>
        <w:rPr>
          <w:rFonts w:hint="default" w:ascii="Times New Roman" w:hAnsi="Times New Roman" w:eastAsia="楷体_GB2312" w:cs="Times New Roman"/>
          <w:b w:val="0"/>
          <w:bCs/>
          <w:color w:val="auto"/>
          <w:szCs w:val="30"/>
          <w:highlight w:val="none"/>
          <w:u w:val="none"/>
        </w:rPr>
        <w:t>第四节 推动医疗保障监管法治化进程</w:t>
      </w:r>
      <w:r>
        <w:rPr>
          <w:rFonts w:hint="default" w:ascii="Times New Roman" w:hAnsi="Times New Roman" w:eastAsia="楷体_GB2312" w:cs="Times New Roman"/>
          <w:b w:val="0"/>
          <w:bCs/>
          <w:color w:val="auto"/>
          <w:highlight w:val="none"/>
          <w:u w:val="none"/>
        </w:rPr>
        <w:tab/>
      </w:r>
      <w:r>
        <w:rPr>
          <w:rFonts w:hint="default" w:ascii="Times New Roman" w:hAnsi="Times New Roman" w:eastAsia="楷体_GB2312" w:cs="Times New Roman"/>
          <w:b w:val="0"/>
          <w:bCs/>
          <w:color w:val="auto"/>
          <w:highlight w:val="none"/>
          <w:u w:val="none"/>
        </w:rPr>
        <w:fldChar w:fldCharType="begin"/>
      </w:r>
      <w:r>
        <w:rPr>
          <w:rFonts w:hint="default" w:ascii="Times New Roman" w:hAnsi="Times New Roman" w:eastAsia="楷体_GB2312" w:cs="Times New Roman"/>
          <w:b w:val="0"/>
          <w:bCs/>
          <w:color w:val="auto"/>
          <w:highlight w:val="none"/>
          <w:u w:val="none"/>
        </w:rPr>
        <w:instrText xml:space="preserve"> PAGEREF _Toc20331 \h </w:instrText>
      </w:r>
      <w:r>
        <w:rPr>
          <w:rFonts w:hint="default" w:ascii="Times New Roman" w:hAnsi="Times New Roman" w:eastAsia="楷体_GB2312" w:cs="Times New Roman"/>
          <w:b w:val="0"/>
          <w:bCs/>
          <w:color w:val="auto"/>
          <w:highlight w:val="none"/>
          <w:u w:val="none"/>
        </w:rPr>
        <w:fldChar w:fldCharType="separate"/>
      </w:r>
      <w:r>
        <w:rPr>
          <w:rFonts w:hint="default" w:ascii="Times New Roman" w:hAnsi="Times New Roman" w:eastAsia="楷体_GB2312" w:cs="Times New Roman"/>
          <w:b w:val="0"/>
          <w:bCs/>
          <w:color w:val="auto"/>
          <w:highlight w:val="none"/>
          <w:u w:val="none"/>
        </w:rPr>
        <w:t>25</w:t>
      </w:r>
      <w:r>
        <w:rPr>
          <w:rFonts w:hint="default" w:ascii="Times New Roman" w:hAnsi="Times New Roman" w:eastAsia="楷体_GB2312" w:cs="Times New Roman"/>
          <w:b w:val="0"/>
          <w:bCs/>
          <w:color w:val="auto"/>
          <w:highlight w:val="none"/>
          <w:u w:val="none"/>
        </w:rPr>
        <w:fldChar w:fldCharType="end"/>
      </w:r>
      <w:r>
        <w:rPr>
          <w:rFonts w:hint="default" w:ascii="Times New Roman" w:hAnsi="Times New Roman" w:eastAsia="楷体_GB2312" w:cs="Times New Roman"/>
          <w:b w:val="0"/>
          <w:bCs/>
          <w:color w:val="auto"/>
          <w:szCs w:val="30"/>
          <w:highlight w:val="none"/>
          <w:u w:val="none"/>
        </w:rPr>
        <w:fldChar w:fldCharType="end"/>
      </w:r>
    </w:p>
    <w:p>
      <w:pPr>
        <w:pStyle w:val="10"/>
        <w:tabs>
          <w:tab w:val="right" w:leader="dot" w:pos="8732"/>
          <w:tab w:val="clear" w:pos="8948"/>
        </w:tabs>
        <w:spacing w:line="560" w:lineRule="exact"/>
        <w:ind w:left="0" w:leftChars="0"/>
        <w:rPr>
          <w:rFonts w:hint="default" w:ascii="Times New Roman" w:hAnsi="Times New Roman" w:eastAsia="方正小标宋简体" w:cs="Times New Roman"/>
          <w:b w:val="0"/>
          <w:bCs/>
          <w:color w:val="auto"/>
          <w:highlight w:val="none"/>
          <w:u w:val="none"/>
        </w:rPr>
      </w:pPr>
      <w:r>
        <w:rPr>
          <w:rFonts w:hint="default" w:ascii="Times New Roman" w:hAnsi="Times New Roman" w:eastAsia="方正小标宋简体" w:cs="Times New Roman"/>
          <w:b w:val="0"/>
          <w:bCs/>
          <w:color w:val="auto"/>
          <w:szCs w:val="30"/>
          <w:highlight w:val="none"/>
          <w:u w:val="none"/>
        </w:rPr>
        <w:fldChar w:fldCharType="begin"/>
      </w:r>
      <w:r>
        <w:rPr>
          <w:rFonts w:hint="default" w:ascii="Times New Roman" w:hAnsi="Times New Roman" w:eastAsia="方正小标宋简体" w:cs="Times New Roman"/>
          <w:b w:val="0"/>
          <w:bCs/>
          <w:color w:val="auto"/>
          <w:szCs w:val="30"/>
          <w:highlight w:val="none"/>
          <w:u w:val="none"/>
        </w:rPr>
        <w:instrText xml:space="preserve"> HYPERLINK \l _Toc18407 </w:instrText>
      </w:r>
      <w:r>
        <w:rPr>
          <w:rFonts w:hint="default" w:ascii="Times New Roman" w:hAnsi="Times New Roman" w:eastAsia="方正小标宋简体" w:cs="Times New Roman"/>
          <w:b w:val="0"/>
          <w:bCs/>
          <w:color w:val="auto"/>
          <w:szCs w:val="30"/>
          <w:highlight w:val="none"/>
          <w:u w:val="none"/>
        </w:rPr>
        <w:fldChar w:fldCharType="separate"/>
      </w:r>
      <w:r>
        <w:rPr>
          <w:rFonts w:hint="default" w:ascii="Times New Roman" w:hAnsi="Times New Roman" w:eastAsia="方正小标宋简体" w:cs="Times New Roman"/>
          <w:b w:val="0"/>
          <w:bCs/>
          <w:color w:val="auto"/>
          <w:szCs w:val="30"/>
          <w:highlight w:val="none"/>
          <w:u w:val="none"/>
        </w:rPr>
        <w:t>第七章 协同推进医药服务供给</w:t>
      </w:r>
      <w:r>
        <w:rPr>
          <w:rFonts w:hint="default" w:ascii="Times New Roman" w:hAnsi="Times New Roman" w:eastAsia="方正小标宋简体" w:cs="Times New Roman"/>
          <w:b w:val="0"/>
          <w:bCs/>
          <w:color w:val="auto"/>
          <w:szCs w:val="30"/>
          <w:highlight w:val="none"/>
          <w:u w:val="none"/>
          <w:shd w:val="clear" w:color="auto" w:fill="auto"/>
        </w:rPr>
        <w:t>侧</w:t>
      </w:r>
      <w:r>
        <w:rPr>
          <w:rFonts w:hint="default" w:ascii="Times New Roman" w:hAnsi="Times New Roman" w:eastAsia="方正小标宋简体" w:cs="Times New Roman"/>
          <w:b w:val="0"/>
          <w:bCs/>
          <w:color w:val="auto"/>
          <w:szCs w:val="30"/>
          <w:highlight w:val="none"/>
          <w:u w:val="none"/>
        </w:rPr>
        <w:t>改革</w:t>
      </w:r>
      <w:r>
        <w:rPr>
          <w:rFonts w:hint="default" w:ascii="Times New Roman" w:hAnsi="Times New Roman" w:eastAsia="方正小标宋简体" w:cs="Times New Roman"/>
          <w:b w:val="0"/>
          <w:bCs/>
          <w:color w:val="auto"/>
          <w:highlight w:val="none"/>
          <w:u w:val="none"/>
        </w:rPr>
        <w:tab/>
      </w:r>
      <w:r>
        <w:rPr>
          <w:rFonts w:hint="default" w:ascii="Times New Roman" w:hAnsi="Times New Roman" w:eastAsia="方正小标宋简体" w:cs="Times New Roman"/>
          <w:b w:val="0"/>
          <w:bCs/>
          <w:color w:val="auto"/>
          <w:highlight w:val="none"/>
          <w:u w:val="none"/>
        </w:rPr>
        <w:fldChar w:fldCharType="begin"/>
      </w:r>
      <w:r>
        <w:rPr>
          <w:rFonts w:hint="default" w:ascii="Times New Roman" w:hAnsi="Times New Roman" w:eastAsia="方正小标宋简体" w:cs="Times New Roman"/>
          <w:b w:val="0"/>
          <w:bCs/>
          <w:color w:val="auto"/>
          <w:highlight w:val="none"/>
          <w:u w:val="none"/>
        </w:rPr>
        <w:instrText xml:space="preserve"> PAGEREF _Toc18407 \h </w:instrText>
      </w:r>
      <w:r>
        <w:rPr>
          <w:rFonts w:hint="default" w:ascii="Times New Roman" w:hAnsi="Times New Roman" w:eastAsia="方正小标宋简体" w:cs="Times New Roman"/>
          <w:b w:val="0"/>
          <w:bCs/>
          <w:color w:val="auto"/>
          <w:highlight w:val="none"/>
          <w:u w:val="none"/>
        </w:rPr>
        <w:fldChar w:fldCharType="separate"/>
      </w:r>
      <w:r>
        <w:rPr>
          <w:rFonts w:hint="default" w:ascii="Times New Roman" w:hAnsi="Times New Roman" w:eastAsia="方正小标宋简体" w:cs="Times New Roman"/>
          <w:b w:val="0"/>
          <w:bCs/>
          <w:color w:val="auto"/>
          <w:highlight w:val="none"/>
          <w:u w:val="none"/>
        </w:rPr>
        <w:t>27</w:t>
      </w:r>
      <w:r>
        <w:rPr>
          <w:rFonts w:hint="default" w:ascii="Times New Roman" w:hAnsi="Times New Roman" w:eastAsia="方正小标宋简体" w:cs="Times New Roman"/>
          <w:b w:val="0"/>
          <w:bCs/>
          <w:color w:val="auto"/>
          <w:highlight w:val="none"/>
          <w:u w:val="none"/>
        </w:rPr>
        <w:fldChar w:fldCharType="end"/>
      </w:r>
      <w:r>
        <w:rPr>
          <w:rFonts w:hint="default" w:ascii="Times New Roman" w:hAnsi="Times New Roman" w:eastAsia="方正小标宋简体" w:cs="Times New Roman"/>
          <w:b w:val="0"/>
          <w:bCs/>
          <w:color w:val="auto"/>
          <w:szCs w:val="30"/>
          <w:highlight w:val="none"/>
          <w:u w:val="none"/>
        </w:rPr>
        <w:fldChar w:fldCharType="end"/>
      </w:r>
    </w:p>
    <w:p>
      <w:pPr>
        <w:pStyle w:val="5"/>
        <w:tabs>
          <w:tab w:val="right" w:leader="dot" w:pos="8732"/>
          <w:tab w:val="clear" w:pos="8948"/>
        </w:tabs>
        <w:spacing w:line="560" w:lineRule="exact"/>
        <w:ind w:left="0"/>
        <w:rPr>
          <w:rFonts w:hint="default" w:ascii="Times New Roman" w:hAnsi="Times New Roman" w:eastAsia="楷体_GB2312" w:cs="Times New Roman"/>
          <w:b w:val="0"/>
          <w:bCs/>
          <w:color w:val="auto"/>
          <w:sz w:val="30"/>
          <w:szCs w:val="30"/>
          <w:highlight w:val="none"/>
          <w:u w:val="none"/>
        </w:rPr>
      </w:pPr>
      <w:r>
        <w:rPr>
          <w:rFonts w:hint="default" w:ascii="Times New Roman" w:hAnsi="Times New Roman" w:eastAsia="楷体_GB2312" w:cs="Times New Roman"/>
          <w:b w:val="0"/>
          <w:bCs/>
          <w:color w:val="auto"/>
          <w:sz w:val="30"/>
          <w:szCs w:val="30"/>
          <w:highlight w:val="none"/>
          <w:u w:val="none"/>
        </w:rPr>
        <w:fldChar w:fldCharType="begin"/>
      </w:r>
      <w:r>
        <w:rPr>
          <w:rFonts w:hint="default" w:ascii="Times New Roman" w:hAnsi="Times New Roman" w:eastAsia="楷体_GB2312" w:cs="Times New Roman"/>
          <w:b w:val="0"/>
          <w:bCs/>
          <w:color w:val="auto"/>
          <w:sz w:val="30"/>
          <w:szCs w:val="30"/>
          <w:highlight w:val="none"/>
          <w:u w:val="none"/>
        </w:rPr>
        <w:instrText xml:space="preserve"> HYPERLINK \l _Toc15866 </w:instrText>
      </w:r>
      <w:r>
        <w:rPr>
          <w:rFonts w:hint="default" w:ascii="Times New Roman" w:hAnsi="Times New Roman" w:eastAsia="楷体_GB2312" w:cs="Times New Roman"/>
          <w:b w:val="0"/>
          <w:bCs/>
          <w:color w:val="auto"/>
          <w:sz w:val="30"/>
          <w:szCs w:val="30"/>
          <w:highlight w:val="none"/>
          <w:u w:val="none"/>
        </w:rPr>
        <w:fldChar w:fldCharType="separate"/>
      </w:r>
      <w:r>
        <w:rPr>
          <w:rFonts w:hint="default" w:ascii="Times New Roman" w:hAnsi="Times New Roman" w:eastAsia="楷体_GB2312" w:cs="Times New Roman"/>
          <w:b w:val="0"/>
          <w:bCs/>
          <w:color w:val="auto"/>
          <w:sz w:val="30"/>
          <w:szCs w:val="30"/>
          <w:highlight w:val="none"/>
          <w:u w:val="none"/>
        </w:rPr>
        <w:t>第一节 落实药品与耗材集中采购政策</w:t>
      </w:r>
      <w:r>
        <w:rPr>
          <w:rFonts w:hint="default" w:ascii="Times New Roman" w:hAnsi="Times New Roman" w:eastAsia="楷体_GB2312" w:cs="Times New Roman"/>
          <w:b w:val="0"/>
          <w:bCs/>
          <w:color w:val="auto"/>
          <w:sz w:val="30"/>
          <w:szCs w:val="30"/>
          <w:highlight w:val="none"/>
          <w:u w:val="none"/>
        </w:rPr>
        <w:tab/>
      </w:r>
      <w:r>
        <w:rPr>
          <w:rFonts w:hint="default" w:ascii="Times New Roman" w:hAnsi="Times New Roman" w:eastAsia="楷体_GB2312" w:cs="Times New Roman"/>
          <w:b w:val="0"/>
          <w:bCs/>
          <w:color w:val="auto"/>
          <w:sz w:val="30"/>
          <w:szCs w:val="30"/>
          <w:highlight w:val="none"/>
          <w:u w:val="none"/>
        </w:rPr>
        <w:fldChar w:fldCharType="begin"/>
      </w:r>
      <w:r>
        <w:rPr>
          <w:rFonts w:hint="default" w:ascii="Times New Roman" w:hAnsi="Times New Roman" w:eastAsia="楷体_GB2312" w:cs="Times New Roman"/>
          <w:b w:val="0"/>
          <w:bCs/>
          <w:color w:val="auto"/>
          <w:sz w:val="30"/>
          <w:szCs w:val="30"/>
          <w:highlight w:val="none"/>
          <w:u w:val="none"/>
        </w:rPr>
        <w:instrText xml:space="preserve"> PAGEREF _Toc15866 \h </w:instrText>
      </w:r>
      <w:r>
        <w:rPr>
          <w:rFonts w:hint="default" w:ascii="Times New Roman" w:hAnsi="Times New Roman" w:eastAsia="楷体_GB2312" w:cs="Times New Roman"/>
          <w:b w:val="0"/>
          <w:bCs/>
          <w:color w:val="auto"/>
          <w:sz w:val="30"/>
          <w:szCs w:val="30"/>
          <w:highlight w:val="none"/>
          <w:u w:val="none"/>
        </w:rPr>
        <w:fldChar w:fldCharType="separate"/>
      </w:r>
      <w:r>
        <w:rPr>
          <w:rFonts w:hint="default" w:ascii="Times New Roman" w:hAnsi="Times New Roman" w:eastAsia="楷体_GB2312" w:cs="Times New Roman"/>
          <w:b w:val="0"/>
          <w:bCs/>
          <w:color w:val="auto"/>
          <w:sz w:val="30"/>
          <w:szCs w:val="30"/>
          <w:highlight w:val="none"/>
          <w:u w:val="none"/>
        </w:rPr>
        <w:t>27</w:t>
      </w:r>
      <w:r>
        <w:rPr>
          <w:rFonts w:hint="default" w:ascii="Times New Roman" w:hAnsi="Times New Roman" w:eastAsia="楷体_GB2312" w:cs="Times New Roman"/>
          <w:b w:val="0"/>
          <w:bCs/>
          <w:color w:val="auto"/>
          <w:sz w:val="30"/>
          <w:szCs w:val="30"/>
          <w:highlight w:val="none"/>
          <w:u w:val="none"/>
        </w:rPr>
        <w:fldChar w:fldCharType="end"/>
      </w:r>
      <w:r>
        <w:rPr>
          <w:rFonts w:hint="default" w:ascii="Times New Roman" w:hAnsi="Times New Roman" w:eastAsia="楷体_GB2312" w:cs="Times New Roman"/>
          <w:b w:val="0"/>
          <w:bCs/>
          <w:color w:val="auto"/>
          <w:sz w:val="30"/>
          <w:szCs w:val="30"/>
          <w:highlight w:val="none"/>
          <w:u w:val="none"/>
        </w:rPr>
        <w:fldChar w:fldCharType="end"/>
      </w:r>
    </w:p>
    <w:p>
      <w:pPr>
        <w:pStyle w:val="5"/>
        <w:tabs>
          <w:tab w:val="right" w:leader="dot" w:pos="8732"/>
          <w:tab w:val="clear" w:pos="8948"/>
        </w:tabs>
        <w:spacing w:line="560" w:lineRule="exact"/>
        <w:ind w:left="0"/>
        <w:rPr>
          <w:rFonts w:hint="default" w:ascii="Times New Roman" w:hAnsi="Times New Roman" w:eastAsia="楷体_GB2312" w:cs="Times New Roman"/>
          <w:b w:val="0"/>
          <w:bCs/>
          <w:color w:val="auto"/>
          <w:sz w:val="30"/>
          <w:szCs w:val="30"/>
          <w:highlight w:val="none"/>
          <w:u w:val="none"/>
        </w:rPr>
      </w:pPr>
      <w:r>
        <w:rPr>
          <w:rFonts w:hint="default" w:ascii="Times New Roman" w:hAnsi="Times New Roman" w:eastAsia="楷体_GB2312" w:cs="Times New Roman"/>
          <w:b w:val="0"/>
          <w:bCs/>
          <w:color w:val="auto"/>
          <w:sz w:val="30"/>
          <w:szCs w:val="30"/>
          <w:highlight w:val="none"/>
          <w:u w:val="none"/>
        </w:rPr>
        <w:fldChar w:fldCharType="begin"/>
      </w:r>
      <w:r>
        <w:rPr>
          <w:rFonts w:hint="default" w:ascii="Times New Roman" w:hAnsi="Times New Roman" w:eastAsia="楷体_GB2312" w:cs="Times New Roman"/>
          <w:b w:val="0"/>
          <w:bCs/>
          <w:color w:val="auto"/>
          <w:sz w:val="30"/>
          <w:szCs w:val="30"/>
          <w:highlight w:val="none"/>
          <w:u w:val="none"/>
        </w:rPr>
        <w:instrText xml:space="preserve"> HYPERLINK \l _Toc8767 </w:instrText>
      </w:r>
      <w:r>
        <w:rPr>
          <w:rFonts w:hint="default" w:ascii="Times New Roman" w:hAnsi="Times New Roman" w:eastAsia="楷体_GB2312" w:cs="Times New Roman"/>
          <w:b w:val="0"/>
          <w:bCs/>
          <w:color w:val="auto"/>
          <w:sz w:val="30"/>
          <w:szCs w:val="30"/>
          <w:highlight w:val="none"/>
          <w:u w:val="none"/>
        </w:rPr>
        <w:fldChar w:fldCharType="separate"/>
      </w:r>
      <w:r>
        <w:rPr>
          <w:rFonts w:hint="default" w:ascii="Times New Roman" w:hAnsi="Times New Roman" w:eastAsia="楷体_GB2312" w:cs="Times New Roman"/>
          <w:b w:val="0"/>
          <w:bCs/>
          <w:color w:val="auto"/>
          <w:sz w:val="30"/>
          <w:szCs w:val="30"/>
          <w:highlight w:val="none"/>
          <w:u w:val="none"/>
        </w:rPr>
        <w:t xml:space="preserve">第二节 </w:t>
      </w:r>
      <w:r>
        <w:rPr>
          <w:rFonts w:hint="eastAsia" w:ascii="Times New Roman" w:hAnsi="Times New Roman" w:eastAsia="楷体_GB2312" w:cs="Times New Roman"/>
          <w:b w:val="0"/>
          <w:bCs/>
          <w:color w:val="auto"/>
          <w:sz w:val="30"/>
          <w:szCs w:val="30"/>
          <w:highlight w:val="none"/>
          <w:u w:val="none"/>
          <w:lang w:eastAsia="zh-CN"/>
        </w:rPr>
        <w:t>推动</w:t>
      </w:r>
      <w:r>
        <w:rPr>
          <w:rFonts w:hint="default" w:ascii="Times New Roman" w:hAnsi="Times New Roman" w:eastAsia="楷体_GB2312" w:cs="Times New Roman"/>
          <w:b w:val="0"/>
          <w:bCs/>
          <w:color w:val="auto"/>
          <w:sz w:val="30"/>
          <w:szCs w:val="30"/>
          <w:highlight w:val="none"/>
          <w:u w:val="none"/>
        </w:rPr>
        <w:t>医药价格机制改革</w:t>
      </w:r>
      <w:r>
        <w:rPr>
          <w:rFonts w:hint="default" w:ascii="Times New Roman" w:hAnsi="Times New Roman" w:eastAsia="楷体_GB2312" w:cs="Times New Roman"/>
          <w:b w:val="0"/>
          <w:bCs/>
          <w:color w:val="auto"/>
          <w:sz w:val="30"/>
          <w:szCs w:val="30"/>
          <w:highlight w:val="none"/>
          <w:u w:val="none"/>
        </w:rPr>
        <w:tab/>
      </w:r>
      <w:r>
        <w:rPr>
          <w:rFonts w:hint="default" w:ascii="Times New Roman" w:hAnsi="Times New Roman" w:eastAsia="楷体_GB2312" w:cs="Times New Roman"/>
          <w:b w:val="0"/>
          <w:bCs/>
          <w:color w:val="auto"/>
          <w:sz w:val="30"/>
          <w:szCs w:val="30"/>
          <w:highlight w:val="none"/>
          <w:u w:val="none"/>
        </w:rPr>
        <w:fldChar w:fldCharType="begin"/>
      </w:r>
      <w:r>
        <w:rPr>
          <w:rFonts w:hint="default" w:ascii="Times New Roman" w:hAnsi="Times New Roman" w:eastAsia="楷体_GB2312" w:cs="Times New Roman"/>
          <w:b w:val="0"/>
          <w:bCs/>
          <w:color w:val="auto"/>
          <w:sz w:val="30"/>
          <w:szCs w:val="30"/>
          <w:highlight w:val="none"/>
          <w:u w:val="none"/>
        </w:rPr>
        <w:instrText xml:space="preserve"> PAGEREF _Toc8767 \h </w:instrText>
      </w:r>
      <w:r>
        <w:rPr>
          <w:rFonts w:hint="default" w:ascii="Times New Roman" w:hAnsi="Times New Roman" w:eastAsia="楷体_GB2312" w:cs="Times New Roman"/>
          <w:b w:val="0"/>
          <w:bCs/>
          <w:color w:val="auto"/>
          <w:sz w:val="30"/>
          <w:szCs w:val="30"/>
          <w:highlight w:val="none"/>
          <w:u w:val="none"/>
        </w:rPr>
        <w:fldChar w:fldCharType="separate"/>
      </w:r>
      <w:r>
        <w:rPr>
          <w:rFonts w:hint="default" w:ascii="Times New Roman" w:hAnsi="Times New Roman" w:eastAsia="楷体_GB2312" w:cs="Times New Roman"/>
          <w:b w:val="0"/>
          <w:bCs/>
          <w:color w:val="auto"/>
          <w:sz w:val="30"/>
          <w:szCs w:val="30"/>
          <w:highlight w:val="none"/>
          <w:u w:val="none"/>
        </w:rPr>
        <w:t>27</w:t>
      </w:r>
      <w:r>
        <w:rPr>
          <w:rFonts w:hint="default" w:ascii="Times New Roman" w:hAnsi="Times New Roman" w:eastAsia="楷体_GB2312" w:cs="Times New Roman"/>
          <w:b w:val="0"/>
          <w:bCs/>
          <w:color w:val="auto"/>
          <w:sz w:val="30"/>
          <w:szCs w:val="30"/>
          <w:highlight w:val="none"/>
          <w:u w:val="none"/>
        </w:rPr>
        <w:fldChar w:fldCharType="end"/>
      </w:r>
      <w:r>
        <w:rPr>
          <w:rFonts w:hint="default" w:ascii="Times New Roman" w:hAnsi="Times New Roman" w:eastAsia="楷体_GB2312" w:cs="Times New Roman"/>
          <w:b w:val="0"/>
          <w:bCs/>
          <w:color w:val="auto"/>
          <w:sz w:val="30"/>
          <w:szCs w:val="30"/>
          <w:highlight w:val="none"/>
          <w:u w:val="none"/>
        </w:rPr>
        <w:fldChar w:fldCharType="end"/>
      </w:r>
    </w:p>
    <w:p>
      <w:pPr>
        <w:pStyle w:val="10"/>
        <w:tabs>
          <w:tab w:val="right" w:leader="dot" w:pos="8732"/>
          <w:tab w:val="clear" w:pos="8948"/>
        </w:tabs>
        <w:spacing w:line="560" w:lineRule="exact"/>
        <w:ind w:left="0" w:leftChars="0"/>
        <w:rPr>
          <w:rFonts w:hint="default" w:ascii="Times New Roman" w:hAnsi="Times New Roman" w:eastAsia="楷体_GB2312" w:cs="Times New Roman"/>
          <w:b w:val="0"/>
          <w:bCs/>
          <w:color w:val="auto"/>
          <w:highlight w:val="none"/>
          <w:u w:val="none"/>
        </w:rPr>
      </w:pPr>
      <w:r>
        <w:rPr>
          <w:rFonts w:hint="default" w:ascii="Times New Roman" w:hAnsi="Times New Roman" w:eastAsia="楷体_GB2312" w:cs="Times New Roman"/>
          <w:b w:val="0"/>
          <w:bCs/>
          <w:color w:val="auto"/>
          <w:szCs w:val="30"/>
          <w:highlight w:val="none"/>
          <w:u w:val="none"/>
        </w:rPr>
        <w:fldChar w:fldCharType="begin"/>
      </w:r>
      <w:r>
        <w:rPr>
          <w:rFonts w:hint="default" w:ascii="Times New Roman" w:hAnsi="Times New Roman" w:eastAsia="楷体_GB2312" w:cs="Times New Roman"/>
          <w:b w:val="0"/>
          <w:bCs/>
          <w:color w:val="auto"/>
          <w:szCs w:val="30"/>
          <w:highlight w:val="none"/>
          <w:u w:val="none"/>
        </w:rPr>
        <w:instrText xml:space="preserve"> HYPERLINK \l _Toc21351 </w:instrText>
      </w:r>
      <w:r>
        <w:rPr>
          <w:rFonts w:hint="default" w:ascii="Times New Roman" w:hAnsi="Times New Roman" w:eastAsia="楷体_GB2312" w:cs="Times New Roman"/>
          <w:b w:val="0"/>
          <w:bCs/>
          <w:color w:val="auto"/>
          <w:szCs w:val="30"/>
          <w:highlight w:val="none"/>
          <w:u w:val="none"/>
        </w:rPr>
        <w:fldChar w:fldCharType="separate"/>
      </w:r>
      <w:r>
        <w:rPr>
          <w:rFonts w:hint="default" w:ascii="Times New Roman" w:hAnsi="Times New Roman" w:eastAsia="楷体_GB2312" w:cs="Times New Roman"/>
          <w:b w:val="0"/>
          <w:bCs/>
          <w:color w:val="auto"/>
          <w:szCs w:val="30"/>
          <w:highlight w:val="none"/>
          <w:u w:val="none"/>
        </w:rPr>
        <w:t>第</w:t>
      </w:r>
      <w:r>
        <w:rPr>
          <w:rFonts w:hint="default" w:ascii="Times New Roman" w:hAnsi="Times New Roman" w:eastAsia="楷体_GB2312" w:cs="Times New Roman"/>
          <w:b w:val="0"/>
          <w:bCs/>
          <w:color w:val="auto"/>
          <w:szCs w:val="30"/>
          <w:highlight w:val="none"/>
          <w:u w:val="none"/>
          <w:lang w:eastAsia="zh-CN"/>
        </w:rPr>
        <w:t>三</w:t>
      </w:r>
      <w:r>
        <w:rPr>
          <w:rFonts w:hint="default" w:ascii="Times New Roman" w:hAnsi="Times New Roman" w:eastAsia="楷体_GB2312" w:cs="Times New Roman"/>
          <w:b w:val="0"/>
          <w:bCs/>
          <w:color w:val="auto"/>
          <w:szCs w:val="30"/>
          <w:highlight w:val="none"/>
          <w:u w:val="none"/>
        </w:rPr>
        <w:t>节</w:t>
      </w:r>
      <w:r>
        <w:rPr>
          <w:rFonts w:hint="default" w:ascii="Times New Roman" w:hAnsi="Times New Roman" w:eastAsia="楷体_GB2312" w:cs="Times New Roman"/>
          <w:b w:val="0"/>
          <w:bCs/>
          <w:color w:val="auto"/>
          <w:szCs w:val="30"/>
          <w:highlight w:val="none"/>
          <w:u w:val="none"/>
          <w:lang w:val="en-US" w:eastAsia="zh-CN"/>
        </w:rPr>
        <w:t xml:space="preserve"> </w:t>
      </w:r>
      <w:r>
        <w:rPr>
          <w:rFonts w:hint="default" w:ascii="Times New Roman" w:hAnsi="Times New Roman" w:eastAsia="楷体_GB2312" w:cs="Times New Roman"/>
          <w:b w:val="0"/>
          <w:bCs/>
          <w:color w:val="auto"/>
          <w:szCs w:val="30"/>
          <w:highlight w:val="none"/>
          <w:u w:val="none"/>
          <w:lang w:eastAsia="zh-CN"/>
        </w:rPr>
        <w:t>优化</w:t>
      </w:r>
      <w:r>
        <w:rPr>
          <w:rFonts w:hint="default" w:ascii="Times New Roman" w:hAnsi="Times New Roman" w:eastAsia="楷体_GB2312" w:cs="Times New Roman"/>
          <w:b w:val="0"/>
          <w:bCs/>
          <w:color w:val="auto"/>
          <w:szCs w:val="30"/>
          <w:highlight w:val="none"/>
          <w:u w:val="none"/>
        </w:rPr>
        <w:t>提升</w:t>
      </w:r>
      <w:r>
        <w:rPr>
          <w:rFonts w:hint="default" w:ascii="Times New Roman" w:hAnsi="Times New Roman" w:eastAsia="楷体_GB2312" w:cs="Times New Roman"/>
          <w:b w:val="0"/>
          <w:bCs/>
          <w:color w:val="auto"/>
          <w:szCs w:val="30"/>
          <w:highlight w:val="none"/>
          <w:u w:val="none"/>
          <w:lang w:eastAsia="zh-CN"/>
        </w:rPr>
        <w:t>医药</w:t>
      </w:r>
      <w:r>
        <w:rPr>
          <w:rFonts w:hint="default" w:ascii="Times New Roman" w:hAnsi="Times New Roman" w:eastAsia="楷体_GB2312" w:cs="Times New Roman"/>
          <w:b w:val="0"/>
          <w:bCs/>
          <w:color w:val="auto"/>
          <w:szCs w:val="30"/>
          <w:highlight w:val="none"/>
          <w:u w:val="none"/>
        </w:rPr>
        <w:t>服务能力</w:t>
      </w:r>
      <w:r>
        <w:rPr>
          <w:rFonts w:hint="default" w:ascii="Times New Roman" w:hAnsi="Times New Roman" w:eastAsia="楷体_GB2312" w:cs="Times New Roman"/>
          <w:b w:val="0"/>
          <w:bCs/>
          <w:color w:val="auto"/>
          <w:highlight w:val="none"/>
          <w:u w:val="none"/>
        </w:rPr>
        <w:tab/>
      </w:r>
      <w:r>
        <w:rPr>
          <w:rFonts w:hint="default" w:ascii="Times New Roman" w:hAnsi="Times New Roman" w:eastAsia="楷体_GB2312" w:cs="Times New Roman"/>
          <w:b w:val="0"/>
          <w:bCs/>
          <w:color w:val="auto"/>
          <w:highlight w:val="none"/>
          <w:u w:val="none"/>
        </w:rPr>
        <w:fldChar w:fldCharType="begin"/>
      </w:r>
      <w:r>
        <w:rPr>
          <w:rFonts w:hint="default" w:ascii="Times New Roman" w:hAnsi="Times New Roman" w:eastAsia="楷体_GB2312" w:cs="Times New Roman"/>
          <w:b w:val="0"/>
          <w:bCs/>
          <w:color w:val="auto"/>
          <w:highlight w:val="none"/>
          <w:u w:val="none"/>
        </w:rPr>
        <w:instrText xml:space="preserve"> PAGEREF _Toc21351 \h </w:instrText>
      </w:r>
      <w:r>
        <w:rPr>
          <w:rFonts w:hint="default" w:ascii="Times New Roman" w:hAnsi="Times New Roman" w:eastAsia="楷体_GB2312" w:cs="Times New Roman"/>
          <w:b w:val="0"/>
          <w:bCs/>
          <w:color w:val="auto"/>
          <w:highlight w:val="none"/>
          <w:u w:val="none"/>
        </w:rPr>
        <w:fldChar w:fldCharType="separate"/>
      </w:r>
      <w:r>
        <w:rPr>
          <w:rFonts w:hint="default" w:ascii="Times New Roman" w:hAnsi="Times New Roman" w:eastAsia="楷体_GB2312" w:cs="Times New Roman"/>
          <w:b w:val="0"/>
          <w:bCs/>
          <w:color w:val="auto"/>
          <w:highlight w:val="none"/>
          <w:u w:val="none"/>
        </w:rPr>
        <w:t>28</w:t>
      </w:r>
      <w:r>
        <w:rPr>
          <w:rFonts w:hint="default" w:ascii="Times New Roman" w:hAnsi="Times New Roman" w:eastAsia="楷体_GB2312" w:cs="Times New Roman"/>
          <w:b w:val="0"/>
          <w:bCs/>
          <w:color w:val="auto"/>
          <w:highlight w:val="none"/>
          <w:u w:val="none"/>
        </w:rPr>
        <w:fldChar w:fldCharType="end"/>
      </w:r>
      <w:r>
        <w:rPr>
          <w:rFonts w:hint="default" w:ascii="Times New Roman" w:hAnsi="Times New Roman" w:eastAsia="楷体_GB2312" w:cs="Times New Roman"/>
          <w:b w:val="0"/>
          <w:bCs/>
          <w:color w:val="auto"/>
          <w:szCs w:val="30"/>
          <w:highlight w:val="none"/>
          <w:u w:val="none"/>
        </w:rPr>
        <w:fldChar w:fldCharType="end"/>
      </w:r>
    </w:p>
    <w:p>
      <w:pPr>
        <w:pStyle w:val="10"/>
        <w:tabs>
          <w:tab w:val="right" w:leader="dot" w:pos="8732"/>
          <w:tab w:val="clear" w:pos="8948"/>
        </w:tabs>
        <w:spacing w:line="560" w:lineRule="exact"/>
        <w:ind w:left="0" w:leftChars="0"/>
        <w:rPr>
          <w:rFonts w:hint="default" w:ascii="Times New Roman" w:hAnsi="Times New Roman" w:eastAsia="方正小标宋简体" w:cs="Times New Roman"/>
          <w:b w:val="0"/>
          <w:bCs/>
          <w:color w:val="auto"/>
          <w:highlight w:val="none"/>
          <w:u w:val="none"/>
        </w:rPr>
      </w:pPr>
      <w:r>
        <w:rPr>
          <w:rFonts w:hint="default" w:ascii="Times New Roman" w:hAnsi="Times New Roman" w:eastAsia="方正小标宋简体" w:cs="Times New Roman"/>
          <w:b w:val="0"/>
          <w:bCs/>
          <w:color w:val="auto"/>
          <w:szCs w:val="30"/>
          <w:highlight w:val="none"/>
          <w:u w:val="none"/>
        </w:rPr>
        <w:fldChar w:fldCharType="begin"/>
      </w:r>
      <w:r>
        <w:rPr>
          <w:rFonts w:hint="default" w:ascii="Times New Roman" w:hAnsi="Times New Roman" w:eastAsia="方正小标宋简体" w:cs="Times New Roman"/>
          <w:b w:val="0"/>
          <w:bCs/>
          <w:color w:val="auto"/>
          <w:szCs w:val="30"/>
          <w:highlight w:val="none"/>
          <w:u w:val="none"/>
        </w:rPr>
        <w:instrText xml:space="preserve"> HYPERLINK \l _Toc24150 </w:instrText>
      </w:r>
      <w:r>
        <w:rPr>
          <w:rFonts w:hint="default" w:ascii="Times New Roman" w:hAnsi="Times New Roman" w:eastAsia="方正小标宋简体" w:cs="Times New Roman"/>
          <w:b w:val="0"/>
          <w:bCs/>
          <w:color w:val="auto"/>
          <w:szCs w:val="30"/>
          <w:highlight w:val="none"/>
          <w:u w:val="none"/>
        </w:rPr>
        <w:fldChar w:fldCharType="separate"/>
      </w:r>
      <w:r>
        <w:rPr>
          <w:rFonts w:hint="default" w:ascii="Times New Roman" w:hAnsi="Times New Roman" w:eastAsia="方正小标宋简体" w:cs="Times New Roman"/>
          <w:b w:val="0"/>
          <w:bCs/>
          <w:color w:val="auto"/>
          <w:szCs w:val="30"/>
          <w:highlight w:val="none"/>
          <w:u w:val="none"/>
        </w:rPr>
        <w:t>第八章 优化医疗保障公共管理服务</w:t>
      </w:r>
      <w:r>
        <w:rPr>
          <w:rFonts w:hint="default" w:ascii="Times New Roman" w:hAnsi="Times New Roman" w:eastAsia="方正小标宋简体" w:cs="Times New Roman"/>
          <w:b w:val="0"/>
          <w:bCs/>
          <w:color w:val="auto"/>
          <w:highlight w:val="none"/>
          <w:u w:val="none"/>
        </w:rPr>
        <w:tab/>
      </w:r>
      <w:r>
        <w:rPr>
          <w:rFonts w:hint="default" w:ascii="Times New Roman" w:hAnsi="Times New Roman" w:eastAsia="方正小标宋简体" w:cs="Times New Roman"/>
          <w:b w:val="0"/>
          <w:bCs/>
          <w:color w:val="auto"/>
          <w:highlight w:val="none"/>
          <w:u w:val="none"/>
        </w:rPr>
        <w:fldChar w:fldCharType="begin"/>
      </w:r>
      <w:r>
        <w:rPr>
          <w:rFonts w:hint="default" w:ascii="Times New Roman" w:hAnsi="Times New Roman" w:eastAsia="方正小标宋简体" w:cs="Times New Roman"/>
          <w:b w:val="0"/>
          <w:bCs/>
          <w:color w:val="auto"/>
          <w:highlight w:val="none"/>
          <w:u w:val="none"/>
        </w:rPr>
        <w:instrText xml:space="preserve"> PAGEREF _Toc24150 \h </w:instrText>
      </w:r>
      <w:r>
        <w:rPr>
          <w:rFonts w:hint="default" w:ascii="Times New Roman" w:hAnsi="Times New Roman" w:eastAsia="方正小标宋简体" w:cs="Times New Roman"/>
          <w:b w:val="0"/>
          <w:bCs/>
          <w:color w:val="auto"/>
          <w:highlight w:val="none"/>
          <w:u w:val="none"/>
        </w:rPr>
        <w:fldChar w:fldCharType="separate"/>
      </w:r>
      <w:r>
        <w:rPr>
          <w:rFonts w:hint="default" w:ascii="Times New Roman" w:hAnsi="Times New Roman" w:eastAsia="方正小标宋简体" w:cs="Times New Roman"/>
          <w:b w:val="0"/>
          <w:bCs/>
          <w:color w:val="auto"/>
          <w:highlight w:val="none"/>
          <w:u w:val="none"/>
        </w:rPr>
        <w:t>30</w:t>
      </w:r>
      <w:r>
        <w:rPr>
          <w:rFonts w:hint="default" w:ascii="Times New Roman" w:hAnsi="Times New Roman" w:eastAsia="方正小标宋简体" w:cs="Times New Roman"/>
          <w:b w:val="0"/>
          <w:bCs/>
          <w:color w:val="auto"/>
          <w:highlight w:val="none"/>
          <w:u w:val="none"/>
        </w:rPr>
        <w:fldChar w:fldCharType="end"/>
      </w:r>
      <w:r>
        <w:rPr>
          <w:rFonts w:hint="default" w:ascii="Times New Roman" w:hAnsi="Times New Roman" w:eastAsia="方正小标宋简体" w:cs="Times New Roman"/>
          <w:b w:val="0"/>
          <w:bCs/>
          <w:color w:val="auto"/>
          <w:szCs w:val="30"/>
          <w:highlight w:val="none"/>
          <w:u w:val="none"/>
        </w:rPr>
        <w:fldChar w:fldCharType="end"/>
      </w:r>
    </w:p>
    <w:p>
      <w:pPr>
        <w:pStyle w:val="5"/>
        <w:tabs>
          <w:tab w:val="right" w:leader="dot" w:pos="8732"/>
          <w:tab w:val="clear" w:pos="8948"/>
        </w:tabs>
        <w:spacing w:line="560" w:lineRule="exact"/>
        <w:ind w:left="0"/>
        <w:rPr>
          <w:rFonts w:hint="default" w:ascii="Times New Roman" w:hAnsi="Times New Roman" w:eastAsia="楷体_GB2312" w:cs="Times New Roman"/>
          <w:b w:val="0"/>
          <w:bCs/>
          <w:color w:val="auto"/>
          <w:sz w:val="30"/>
          <w:szCs w:val="30"/>
          <w:highlight w:val="none"/>
          <w:u w:val="none"/>
        </w:rPr>
      </w:pPr>
      <w:r>
        <w:rPr>
          <w:rFonts w:hint="default" w:ascii="Times New Roman" w:hAnsi="Times New Roman" w:eastAsia="楷体_GB2312" w:cs="Times New Roman"/>
          <w:b w:val="0"/>
          <w:bCs/>
          <w:color w:val="auto"/>
          <w:sz w:val="30"/>
          <w:szCs w:val="30"/>
          <w:highlight w:val="none"/>
          <w:u w:val="none"/>
        </w:rPr>
        <w:fldChar w:fldCharType="begin"/>
      </w:r>
      <w:r>
        <w:rPr>
          <w:rFonts w:hint="default" w:ascii="Times New Roman" w:hAnsi="Times New Roman" w:eastAsia="楷体_GB2312" w:cs="Times New Roman"/>
          <w:b w:val="0"/>
          <w:bCs/>
          <w:color w:val="auto"/>
          <w:sz w:val="30"/>
          <w:szCs w:val="30"/>
          <w:highlight w:val="none"/>
          <w:u w:val="none"/>
        </w:rPr>
        <w:instrText xml:space="preserve"> HYPERLINK \l _Toc11001 </w:instrText>
      </w:r>
      <w:r>
        <w:rPr>
          <w:rFonts w:hint="default" w:ascii="Times New Roman" w:hAnsi="Times New Roman" w:eastAsia="楷体_GB2312" w:cs="Times New Roman"/>
          <w:b w:val="0"/>
          <w:bCs/>
          <w:color w:val="auto"/>
          <w:sz w:val="30"/>
          <w:szCs w:val="30"/>
          <w:highlight w:val="none"/>
          <w:u w:val="none"/>
        </w:rPr>
        <w:fldChar w:fldCharType="separate"/>
      </w:r>
      <w:r>
        <w:rPr>
          <w:rFonts w:hint="default" w:ascii="Times New Roman" w:hAnsi="Times New Roman" w:eastAsia="楷体_GB2312" w:cs="Times New Roman"/>
          <w:b w:val="0"/>
          <w:bCs/>
          <w:color w:val="auto"/>
          <w:sz w:val="30"/>
          <w:szCs w:val="30"/>
          <w:highlight w:val="none"/>
          <w:u w:val="none"/>
        </w:rPr>
        <w:t xml:space="preserve">第一节 </w:t>
      </w:r>
      <w:r>
        <w:rPr>
          <w:rFonts w:hint="default" w:ascii="Times New Roman" w:hAnsi="Times New Roman" w:eastAsia="楷体_GB2312" w:cs="Times New Roman"/>
          <w:b w:val="0"/>
          <w:bCs/>
          <w:color w:val="auto"/>
          <w:sz w:val="30"/>
          <w:szCs w:val="30"/>
          <w:highlight w:val="none"/>
          <w:u w:val="none"/>
          <w:lang w:val="en-US" w:eastAsia="zh-CN"/>
        </w:rPr>
        <w:t>加强经办管理服务体系建设</w:t>
      </w:r>
      <w:r>
        <w:rPr>
          <w:rFonts w:hint="default" w:ascii="Times New Roman" w:hAnsi="Times New Roman" w:eastAsia="楷体_GB2312" w:cs="Times New Roman"/>
          <w:b w:val="0"/>
          <w:bCs/>
          <w:color w:val="auto"/>
          <w:sz w:val="30"/>
          <w:szCs w:val="30"/>
          <w:highlight w:val="none"/>
          <w:u w:val="none"/>
        </w:rPr>
        <w:tab/>
      </w:r>
      <w:r>
        <w:rPr>
          <w:rFonts w:hint="default" w:ascii="Times New Roman" w:hAnsi="Times New Roman" w:eastAsia="楷体_GB2312" w:cs="Times New Roman"/>
          <w:b w:val="0"/>
          <w:bCs/>
          <w:color w:val="auto"/>
          <w:sz w:val="30"/>
          <w:szCs w:val="30"/>
          <w:highlight w:val="none"/>
          <w:u w:val="none"/>
        </w:rPr>
        <w:fldChar w:fldCharType="begin"/>
      </w:r>
      <w:r>
        <w:rPr>
          <w:rFonts w:hint="default" w:ascii="Times New Roman" w:hAnsi="Times New Roman" w:eastAsia="楷体_GB2312" w:cs="Times New Roman"/>
          <w:b w:val="0"/>
          <w:bCs/>
          <w:color w:val="auto"/>
          <w:sz w:val="30"/>
          <w:szCs w:val="30"/>
          <w:highlight w:val="none"/>
          <w:u w:val="none"/>
        </w:rPr>
        <w:instrText xml:space="preserve"> PAGEREF _Toc11001 \h </w:instrText>
      </w:r>
      <w:r>
        <w:rPr>
          <w:rFonts w:hint="default" w:ascii="Times New Roman" w:hAnsi="Times New Roman" w:eastAsia="楷体_GB2312" w:cs="Times New Roman"/>
          <w:b w:val="0"/>
          <w:bCs/>
          <w:color w:val="auto"/>
          <w:sz w:val="30"/>
          <w:szCs w:val="30"/>
          <w:highlight w:val="none"/>
          <w:u w:val="none"/>
        </w:rPr>
        <w:fldChar w:fldCharType="separate"/>
      </w:r>
      <w:r>
        <w:rPr>
          <w:rFonts w:hint="default" w:ascii="Times New Roman" w:hAnsi="Times New Roman" w:eastAsia="楷体_GB2312" w:cs="Times New Roman"/>
          <w:b w:val="0"/>
          <w:bCs/>
          <w:color w:val="auto"/>
          <w:sz w:val="30"/>
          <w:szCs w:val="30"/>
          <w:highlight w:val="none"/>
          <w:u w:val="none"/>
        </w:rPr>
        <w:t>30</w:t>
      </w:r>
      <w:r>
        <w:rPr>
          <w:rFonts w:hint="default" w:ascii="Times New Roman" w:hAnsi="Times New Roman" w:eastAsia="楷体_GB2312" w:cs="Times New Roman"/>
          <w:b w:val="0"/>
          <w:bCs/>
          <w:color w:val="auto"/>
          <w:sz w:val="30"/>
          <w:szCs w:val="30"/>
          <w:highlight w:val="none"/>
          <w:u w:val="none"/>
        </w:rPr>
        <w:fldChar w:fldCharType="end"/>
      </w:r>
      <w:r>
        <w:rPr>
          <w:rFonts w:hint="default" w:ascii="Times New Roman" w:hAnsi="Times New Roman" w:eastAsia="楷体_GB2312" w:cs="Times New Roman"/>
          <w:b w:val="0"/>
          <w:bCs/>
          <w:color w:val="auto"/>
          <w:sz w:val="30"/>
          <w:szCs w:val="30"/>
          <w:highlight w:val="none"/>
          <w:u w:val="none"/>
        </w:rPr>
        <w:fldChar w:fldCharType="end"/>
      </w:r>
    </w:p>
    <w:p>
      <w:pPr>
        <w:pStyle w:val="5"/>
        <w:tabs>
          <w:tab w:val="right" w:leader="dot" w:pos="8732"/>
          <w:tab w:val="clear" w:pos="8948"/>
        </w:tabs>
        <w:spacing w:line="560" w:lineRule="exact"/>
        <w:ind w:left="0"/>
        <w:rPr>
          <w:rFonts w:hint="default" w:ascii="Times New Roman" w:hAnsi="Times New Roman" w:eastAsia="楷体_GB2312" w:cs="Times New Roman"/>
          <w:b w:val="0"/>
          <w:bCs/>
          <w:color w:val="auto"/>
          <w:sz w:val="30"/>
          <w:szCs w:val="30"/>
          <w:highlight w:val="none"/>
          <w:u w:val="none"/>
        </w:rPr>
      </w:pPr>
      <w:r>
        <w:rPr>
          <w:rFonts w:hint="default" w:ascii="Times New Roman" w:hAnsi="Times New Roman" w:eastAsia="楷体_GB2312" w:cs="Times New Roman"/>
          <w:b w:val="0"/>
          <w:bCs/>
          <w:color w:val="auto"/>
          <w:sz w:val="30"/>
          <w:szCs w:val="30"/>
          <w:highlight w:val="none"/>
          <w:u w:val="none"/>
        </w:rPr>
        <w:fldChar w:fldCharType="begin"/>
      </w:r>
      <w:r>
        <w:rPr>
          <w:rFonts w:hint="default" w:ascii="Times New Roman" w:hAnsi="Times New Roman" w:eastAsia="楷体_GB2312" w:cs="Times New Roman"/>
          <w:b w:val="0"/>
          <w:bCs/>
          <w:color w:val="auto"/>
          <w:sz w:val="30"/>
          <w:szCs w:val="30"/>
          <w:highlight w:val="none"/>
          <w:u w:val="none"/>
        </w:rPr>
        <w:instrText xml:space="preserve"> HYPERLINK \l _Toc4613 </w:instrText>
      </w:r>
      <w:r>
        <w:rPr>
          <w:rFonts w:hint="default" w:ascii="Times New Roman" w:hAnsi="Times New Roman" w:eastAsia="楷体_GB2312" w:cs="Times New Roman"/>
          <w:b w:val="0"/>
          <w:bCs/>
          <w:color w:val="auto"/>
          <w:sz w:val="30"/>
          <w:szCs w:val="30"/>
          <w:highlight w:val="none"/>
          <w:u w:val="none"/>
        </w:rPr>
        <w:fldChar w:fldCharType="separate"/>
      </w:r>
      <w:r>
        <w:rPr>
          <w:rFonts w:hint="default" w:ascii="Times New Roman" w:hAnsi="Times New Roman" w:eastAsia="楷体_GB2312" w:cs="Times New Roman"/>
          <w:b w:val="0"/>
          <w:bCs/>
          <w:color w:val="auto"/>
          <w:sz w:val="30"/>
          <w:szCs w:val="30"/>
          <w:highlight w:val="none"/>
          <w:u w:val="none"/>
        </w:rPr>
        <w:t>第二节 加快</w:t>
      </w:r>
      <w:r>
        <w:rPr>
          <w:rFonts w:hint="default" w:ascii="Times New Roman" w:hAnsi="Times New Roman" w:eastAsia="楷体_GB2312" w:cs="Times New Roman"/>
          <w:b w:val="0"/>
          <w:bCs/>
          <w:color w:val="auto"/>
          <w:sz w:val="30"/>
          <w:szCs w:val="30"/>
          <w:highlight w:val="none"/>
          <w:u w:val="none"/>
          <w:lang w:eastAsia="zh-CN"/>
        </w:rPr>
        <w:t>完善</w:t>
      </w:r>
      <w:r>
        <w:rPr>
          <w:rFonts w:hint="default" w:ascii="Times New Roman" w:hAnsi="Times New Roman" w:eastAsia="楷体_GB2312" w:cs="Times New Roman"/>
          <w:b w:val="0"/>
          <w:bCs/>
          <w:color w:val="auto"/>
          <w:sz w:val="30"/>
          <w:szCs w:val="30"/>
          <w:highlight w:val="none"/>
          <w:u w:val="none"/>
        </w:rPr>
        <w:t>医疗保障</w:t>
      </w:r>
      <w:r>
        <w:rPr>
          <w:rFonts w:hint="default" w:ascii="Times New Roman" w:hAnsi="Times New Roman" w:eastAsia="楷体_GB2312" w:cs="Times New Roman"/>
          <w:b w:val="0"/>
          <w:bCs/>
          <w:color w:val="auto"/>
          <w:sz w:val="30"/>
          <w:szCs w:val="30"/>
          <w:highlight w:val="none"/>
          <w:u w:val="none"/>
          <w:lang w:eastAsia="zh-CN"/>
        </w:rPr>
        <w:t>大数据</w:t>
      </w:r>
      <w:r>
        <w:rPr>
          <w:rFonts w:hint="default" w:ascii="Times New Roman" w:hAnsi="Times New Roman" w:eastAsia="楷体_GB2312" w:cs="Times New Roman"/>
          <w:b w:val="0"/>
          <w:bCs/>
          <w:color w:val="auto"/>
          <w:sz w:val="30"/>
          <w:szCs w:val="30"/>
          <w:highlight w:val="none"/>
          <w:u w:val="none"/>
        </w:rPr>
        <w:t>信息</w:t>
      </w:r>
      <w:r>
        <w:rPr>
          <w:rFonts w:hint="default" w:ascii="Times New Roman" w:hAnsi="Times New Roman" w:eastAsia="楷体_GB2312" w:cs="Times New Roman"/>
          <w:b w:val="0"/>
          <w:bCs/>
          <w:color w:val="auto"/>
          <w:sz w:val="30"/>
          <w:szCs w:val="30"/>
          <w:highlight w:val="none"/>
          <w:u w:val="none"/>
          <w:lang w:eastAsia="zh-CN"/>
        </w:rPr>
        <w:t>应用</w:t>
      </w:r>
      <w:r>
        <w:rPr>
          <w:rFonts w:hint="default" w:ascii="Times New Roman" w:hAnsi="Times New Roman" w:eastAsia="楷体_GB2312" w:cs="Times New Roman"/>
          <w:b w:val="0"/>
          <w:bCs/>
          <w:color w:val="auto"/>
          <w:sz w:val="30"/>
          <w:szCs w:val="30"/>
          <w:highlight w:val="none"/>
          <w:u w:val="none"/>
        </w:rPr>
        <w:tab/>
      </w:r>
      <w:r>
        <w:rPr>
          <w:rFonts w:hint="default" w:ascii="Times New Roman" w:hAnsi="Times New Roman" w:eastAsia="楷体_GB2312" w:cs="Times New Roman"/>
          <w:b w:val="0"/>
          <w:bCs/>
          <w:color w:val="auto"/>
          <w:sz w:val="30"/>
          <w:szCs w:val="30"/>
          <w:highlight w:val="none"/>
          <w:u w:val="none"/>
        </w:rPr>
        <w:fldChar w:fldCharType="begin"/>
      </w:r>
      <w:r>
        <w:rPr>
          <w:rFonts w:hint="default" w:ascii="Times New Roman" w:hAnsi="Times New Roman" w:eastAsia="楷体_GB2312" w:cs="Times New Roman"/>
          <w:b w:val="0"/>
          <w:bCs/>
          <w:color w:val="auto"/>
          <w:sz w:val="30"/>
          <w:szCs w:val="30"/>
          <w:highlight w:val="none"/>
          <w:u w:val="none"/>
        </w:rPr>
        <w:instrText xml:space="preserve"> PAGEREF _Toc4613 \h </w:instrText>
      </w:r>
      <w:r>
        <w:rPr>
          <w:rFonts w:hint="default" w:ascii="Times New Roman" w:hAnsi="Times New Roman" w:eastAsia="楷体_GB2312" w:cs="Times New Roman"/>
          <w:b w:val="0"/>
          <w:bCs/>
          <w:color w:val="auto"/>
          <w:sz w:val="30"/>
          <w:szCs w:val="30"/>
          <w:highlight w:val="none"/>
          <w:u w:val="none"/>
        </w:rPr>
        <w:fldChar w:fldCharType="separate"/>
      </w:r>
      <w:r>
        <w:rPr>
          <w:rFonts w:hint="default" w:ascii="Times New Roman" w:hAnsi="Times New Roman" w:eastAsia="楷体_GB2312" w:cs="Times New Roman"/>
          <w:b w:val="0"/>
          <w:bCs/>
          <w:color w:val="auto"/>
          <w:sz w:val="30"/>
          <w:szCs w:val="30"/>
          <w:highlight w:val="none"/>
          <w:u w:val="none"/>
        </w:rPr>
        <w:t>30</w:t>
      </w:r>
      <w:r>
        <w:rPr>
          <w:rFonts w:hint="default" w:ascii="Times New Roman" w:hAnsi="Times New Roman" w:eastAsia="楷体_GB2312" w:cs="Times New Roman"/>
          <w:b w:val="0"/>
          <w:bCs/>
          <w:color w:val="auto"/>
          <w:sz w:val="30"/>
          <w:szCs w:val="30"/>
          <w:highlight w:val="none"/>
          <w:u w:val="none"/>
        </w:rPr>
        <w:fldChar w:fldCharType="end"/>
      </w:r>
      <w:r>
        <w:rPr>
          <w:rFonts w:hint="default" w:ascii="Times New Roman" w:hAnsi="Times New Roman" w:eastAsia="楷体_GB2312" w:cs="Times New Roman"/>
          <w:b w:val="0"/>
          <w:bCs/>
          <w:color w:val="auto"/>
          <w:sz w:val="30"/>
          <w:szCs w:val="30"/>
          <w:highlight w:val="none"/>
          <w:u w:val="none"/>
        </w:rPr>
        <w:fldChar w:fldCharType="end"/>
      </w:r>
    </w:p>
    <w:p>
      <w:pPr>
        <w:pStyle w:val="5"/>
        <w:tabs>
          <w:tab w:val="right" w:leader="dot" w:pos="8732"/>
          <w:tab w:val="clear" w:pos="8948"/>
        </w:tabs>
        <w:spacing w:line="560" w:lineRule="exact"/>
        <w:ind w:left="0"/>
        <w:rPr>
          <w:rFonts w:hint="default" w:ascii="Times New Roman" w:hAnsi="Times New Roman" w:eastAsia="楷体_GB2312" w:cs="Times New Roman"/>
          <w:b w:val="0"/>
          <w:bCs/>
          <w:color w:val="auto"/>
          <w:sz w:val="30"/>
          <w:szCs w:val="30"/>
          <w:highlight w:val="none"/>
          <w:u w:val="none"/>
        </w:rPr>
      </w:pPr>
      <w:r>
        <w:rPr>
          <w:rFonts w:hint="default" w:ascii="Times New Roman" w:hAnsi="Times New Roman" w:eastAsia="楷体_GB2312" w:cs="Times New Roman"/>
          <w:b w:val="0"/>
          <w:bCs/>
          <w:color w:val="auto"/>
          <w:sz w:val="30"/>
          <w:szCs w:val="30"/>
          <w:highlight w:val="none"/>
          <w:u w:val="none"/>
        </w:rPr>
        <w:fldChar w:fldCharType="begin"/>
      </w:r>
      <w:r>
        <w:rPr>
          <w:rFonts w:hint="default" w:ascii="Times New Roman" w:hAnsi="Times New Roman" w:eastAsia="楷体_GB2312" w:cs="Times New Roman"/>
          <w:b w:val="0"/>
          <w:bCs/>
          <w:color w:val="auto"/>
          <w:sz w:val="30"/>
          <w:szCs w:val="30"/>
          <w:highlight w:val="none"/>
          <w:u w:val="none"/>
        </w:rPr>
        <w:instrText xml:space="preserve"> HYPERLINK \l _Toc18611 </w:instrText>
      </w:r>
      <w:r>
        <w:rPr>
          <w:rFonts w:hint="default" w:ascii="Times New Roman" w:hAnsi="Times New Roman" w:eastAsia="楷体_GB2312" w:cs="Times New Roman"/>
          <w:b w:val="0"/>
          <w:bCs/>
          <w:color w:val="auto"/>
          <w:sz w:val="30"/>
          <w:szCs w:val="30"/>
          <w:highlight w:val="none"/>
          <w:u w:val="none"/>
        </w:rPr>
        <w:fldChar w:fldCharType="separate"/>
      </w:r>
      <w:r>
        <w:rPr>
          <w:rFonts w:hint="default" w:ascii="Times New Roman" w:hAnsi="Times New Roman" w:eastAsia="楷体_GB2312" w:cs="Times New Roman"/>
          <w:b w:val="0"/>
          <w:bCs/>
          <w:color w:val="auto"/>
          <w:sz w:val="30"/>
          <w:szCs w:val="30"/>
          <w:highlight w:val="none"/>
          <w:u w:val="none"/>
        </w:rPr>
        <w:t>第三节 加强医疗保障经办能力建设</w:t>
      </w:r>
      <w:r>
        <w:rPr>
          <w:rFonts w:hint="default" w:ascii="Times New Roman" w:hAnsi="Times New Roman" w:eastAsia="楷体_GB2312" w:cs="Times New Roman"/>
          <w:b w:val="0"/>
          <w:bCs/>
          <w:color w:val="auto"/>
          <w:sz w:val="30"/>
          <w:szCs w:val="30"/>
          <w:highlight w:val="none"/>
          <w:u w:val="none"/>
        </w:rPr>
        <w:tab/>
      </w:r>
      <w:r>
        <w:rPr>
          <w:rFonts w:hint="default" w:ascii="Times New Roman" w:hAnsi="Times New Roman" w:eastAsia="楷体_GB2312" w:cs="Times New Roman"/>
          <w:b w:val="0"/>
          <w:bCs/>
          <w:color w:val="auto"/>
          <w:sz w:val="30"/>
          <w:szCs w:val="30"/>
          <w:highlight w:val="none"/>
          <w:u w:val="none"/>
        </w:rPr>
        <w:fldChar w:fldCharType="begin"/>
      </w:r>
      <w:r>
        <w:rPr>
          <w:rFonts w:hint="default" w:ascii="Times New Roman" w:hAnsi="Times New Roman" w:eastAsia="楷体_GB2312" w:cs="Times New Roman"/>
          <w:b w:val="0"/>
          <w:bCs/>
          <w:color w:val="auto"/>
          <w:sz w:val="30"/>
          <w:szCs w:val="30"/>
          <w:highlight w:val="none"/>
          <w:u w:val="none"/>
        </w:rPr>
        <w:instrText xml:space="preserve"> PAGEREF _Toc18611 \h </w:instrText>
      </w:r>
      <w:r>
        <w:rPr>
          <w:rFonts w:hint="default" w:ascii="Times New Roman" w:hAnsi="Times New Roman" w:eastAsia="楷体_GB2312" w:cs="Times New Roman"/>
          <w:b w:val="0"/>
          <w:bCs/>
          <w:color w:val="auto"/>
          <w:sz w:val="30"/>
          <w:szCs w:val="30"/>
          <w:highlight w:val="none"/>
          <w:u w:val="none"/>
        </w:rPr>
        <w:fldChar w:fldCharType="separate"/>
      </w:r>
      <w:r>
        <w:rPr>
          <w:rFonts w:hint="default" w:ascii="Times New Roman" w:hAnsi="Times New Roman" w:eastAsia="楷体_GB2312" w:cs="Times New Roman"/>
          <w:b w:val="0"/>
          <w:bCs/>
          <w:color w:val="auto"/>
          <w:sz w:val="30"/>
          <w:szCs w:val="30"/>
          <w:highlight w:val="none"/>
          <w:u w:val="none"/>
        </w:rPr>
        <w:t>31</w:t>
      </w:r>
      <w:r>
        <w:rPr>
          <w:rFonts w:hint="default" w:ascii="Times New Roman" w:hAnsi="Times New Roman" w:eastAsia="楷体_GB2312" w:cs="Times New Roman"/>
          <w:b w:val="0"/>
          <w:bCs/>
          <w:color w:val="auto"/>
          <w:sz w:val="30"/>
          <w:szCs w:val="30"/>
          <w:highlight w:val="none"/>
          <w:u w:val="none"/>
        </w:rPr>
        <w:fldChar w:fldCharType="end"/>
      </w:r>
      <w:r>
        <w:rPr>
          <w:rFonts w:hint="default" w:ascii="Times New Roman" w:hAnsi="Times New Roman" w:eastAsia="楷体_GB2312" w:cs="Times New Roman"/>
          <w:b w:val="0"/>
          <w:bCs/>
          <w:color w:val="auto"/>
          <w:sz w:val="30"/>
          <w:szCs w:val="30"/>
          <w:highlight w:val="none"/>
          <w:u w:val="none"/>
        </w:rPr>
        <w:fldChar w:fldCharType="end"/>
      </w:r>
    </w:p>
    <w:p>
      <w:pPr>
        <w:pStyle w:val="10"/>
        <w:tabs>
          <w:tab w:val="right" w:leader="dot" w:pos="8732"/>
          <w:tab w:val="clear" w:pos="8948"/>
        </w:tabs>
        <w:spacing w:line="560" w:lineRule="exact"/>
        <w:ind w:left="0" w:leftChars="0"/>
        <w:rPr>
          <w:rFonts w:hint="default" w:ascii="Times New Roman" w:hAnsi="Times New Roman" w:eastAsia="楷体_GB2312" w:cs="Times New Roman"/>
          <w:b w:val="0"/>
          <w:bCs/>
          <w:color w:val="auto"/>
          <w:sz w:val="30"/>
          <w:szCs w:val="30"/>
          <w:highlight w:val="none"/>
          <w:u w:val="none"/>
        </w:rPr>
      </w:pPr>
      <w:r>
        <w:rPr>
          <w:rFonts w:hint="default" w:ascii="Times New Roman" w:hAnsi="Times New Roman" w:eastAsia="楷体_GB2312" w:cs="Times New Roman"/>
          <w:b w:val="0"/>
          <w:bCs/>
          <w:color w:val="auto"/>
          <w:szCs w:val="30"/>
          <w:highlight w:val="none"/>
          <w:u w:val="none"/>
        </w:rPr>
        <w:fldChar w:fldCharType="begin"/>
      </w:r>
      <w:r>
        <w:rPr>
          <w:rFonts w:hint="default" w:ascii="Times New Roman" w:hAnsi="Times New Roman" w:eastAsia="楷体_GB2312" w:cs="Times New Roman"/>
          <w:b w:val="0"/>
          <w:bCs/>
          <w:color w:val="auto"/>
          <w:szCs w:val="30"/>
          <w:highlight w:val="none"/>
          <w:u w:val="none"/>
        </w:rPr>
        <w:instrText xml:space="preserve"> HYPERLINK \l _Toc10535 </w:instrText>
      </w:r>
      <w:r>
        <w:rPr>
          <w:rFonts w:hint="default" w:ascii="Times New Roman" w:hAnsi="Times New Roman" w:eastAsia="楷体_GB2312" w:cs="Times New Roman"/>
          <w:b w:val="0"/>
          <w:bCs/>
          <w:color w:val="auto"/>
          <w:szCs w:val="30"/>
          <w:highlight w:val="none"/>
          <w:u w:val="none"/>
        </w:rPr>
        <w:fldChar w:fldCharType="separate"/>
      </w:r>
      <w:r>
        <w:rPr>
          <w:rFonts w:hint="default" w:ascii="Times New Roman" w:hAnsi="Times New Roman" w:eastAsia="楷体_GB2312" w:cs="Times New Roman"/>
          <w:b w:val="0"/>
          <w:bCs/>
          <w:color w:val="auto"/>
          <w:szCs w:val="30"/>
          <w:highlight w:val="none"/>
          <w:u w:val="none"/>
        </w:rPr>
        <w:t>第四节 推进医疗保障服务</w:t>
      </w:r>
      <w:r>
        <w:rPr>
          <w:rFonts w:hint="default" w:ascii="Times New Roman" w:hAnsi="Times New Roman" w:eastAsia="楷体_GB2312" w:cs="Times New Roman"/>
          <w:b w:val="0"/>
          <w:bCs/>
          <w:color w:val="auto"/>
          <w:szCs w:val="30"/>
          <w:highlight w:val="none"/>
          <w:u w:val="none"/>
          <w:lang w:eastAsia="zh-CN"/>
        </w:rPr>
        <w:t>标准化</w:t>
      </w:r>
      <w:r>
        <w:rPr>
          <w:rFonts w:hint="default" w:ascii="Times New Roman" w:hAnsi="Times New Roman" w:eastAsia="楷体_GB2312" w:cs="Times New Roman"/>
          <w:b w:val="0"/>
          <w:bCs/>
          <w:color w:val="auto"/>
          <w:highlight w:val="none"/>
          <w:u w:val="none"/>
        </w:rPr>
        <w:tab/>
      </w:r>
      <w:r>
        <w:rPr>
          <w:rFonts w:hint="default" w:ascii="Times New Roman" w:hAnsi="Times New Roman" w:eastAsia="楷体_GB2312" w:cs="Times New Roman"/>
          <w:b w:val="0"/>
          <w:bCs/>
          <w:color w:val="auto"/>
          <w:highlight w:val="none"/>
          <w:u w:val="none"/>
        </w:rPr>
        <w:fldChar w:fldCharType="begin"/>
      </w:r>
      <w:r>
        <w:rPr>
          <w:rFonts w:hint="default" w:ascii="Times New Roman" w:hAnsi="Times New Roman" w:eastAsia="楷体_GB2312" w:cs="Times New Roman"/>
          <w:b w:val="0"/>
          <w:bCs/>
          <w:color w:val="auto"/>
          <w:highlight w:val="none"/>
          <w:u w:val="none"/>
        </w:rPr>
        <w:instrText xml:space="preserve"> PAGEREF _Toc10535 \h </w:instrText>
      </w:r>
      <w:r>
        <w:rPr>
          <w:rFonts w:hint="default" w:ascii="Times New Roman" w:hAnsi="Times New Roman" w:eastAsia="楷体_GB2312" w:cs="Times New Roman"/>
          <w:b w:val="0"/>
          <w:bCs/>
          <w:color w:val="auto"/>
          <w:highlight w:val="none"/>
          <w:u w:val="none"/>
        </w:rPr>
        <w:fldChar w:fldCharType="separate"/>
      </w:r>
      <w:r>
        <w:rPr>
          <w:rFonts w:hint="default" w:ascii="Times New Roman" w:hAnsi="Times New Roman" w:eastAsia="楷体_GB2312" w:cs="Times New Roman"/>
          <w:b w:val="0"/>
          <w:bCs/>
          <w:color w:val="auto"/>
          <w:highlight w:val="none"/>
          <w:u w:val="none"/>
        </w:rPr>
        <w:t>32</w:t>
      </w:r>
      <w:r>
        <w:rPr>
          <w:rFonts w:hint="default" w:ascii="Times New Roman" w:hAnsi="Times New Roman" w:eastAsia="楷体_GB2312" w:cs="Times New Roman"/>
          <w:b w:val="0"/>
          <w:bCs/>
          <w:color w:val="auto"/>
          <w:highlight w:val="none"/>
          <w:u w:val="none"/>
        </w:rPr>
        <w:fldChar w:fldCharType="end"/>
      </w:r>
      <w:r>
        <w:rPr>
          <w:rFonts w:hint="default" w:ascii="Times New Roman" w:hAnsi="Times New Roman" w:eastAsia="楷体_GB2312" w:cs="Times New Roman"/>
          <w:b w:val="0"/>
          <w:bCs/>
          <w:color w:val="auto"/>
          <w:szCs w:val="30"/>
          <w:highlight w:val="none"/>
          <w:u w:val="none"/>
        </w:rPr>
        <w:fldChar w:fldCharType="end"/>
      </w:r>
    </w:p>
    <w:p>
      <w:pPr>
        <w:pStyle w:val="10"/>
        <w:tabs>
          <w:tab w:val="right" w:leader="dot" w:pos="8732"/>
          <w:tab w:val="clear" w:pos="8948"/>
        </w:tabs>
        <w:spacing w:line="560" w:lineRule="exact"/>
        <w:ind w:left="0" w:leftChars="0"/>
        <w:rPr>
          <w:rFonts w:hint="default" w:ascii="Times New Roman" w:hAnsi="Times New Roman" w:eastAsia="方正小标宋简体" w:cs="Times New Roman"/>
          <w:b w:val="0"/>
          <w:bCs/>
          <w:color w:val="auto"/>
          <w:highlight w:val="none"/>
          <w:u w:val="none"/>
        </w:rPr>
      </w:pPr>
      <w:r>
        <w:rPr>
          <w:rFonts w:hint="default" w:ascii="Times New Roman" w:hAnsi="Times New Roman" w:eastAsia="方正小标宋简体" w:cs="Times New Roman"/>
          <w:b w:val="0"/>
          <w:bCs/>
          <w:color w:val="auto"/>
          <w:szCs w:val="30"/>
          <w:highlight w:val="none"/>
          <w:u w:val="none"/>
        </w:rPr>
        <w:fldChar w:fldCharType="begin"/>
      </w:r>
      <w:r>
        <w:rPr>
          <w:rFonts w:hint="default" w:ascii="Times New Roman" w:hAnsi="Times New Roman" w:eastAsia="方正小标宋简体" w:cs="Times New Roman"/>
          <w:b w:val="0"/>
          <w:bCs/>
          <w:color w:val="auto"/>
          <w:szCs w:val="30"/>
          <w:highlight w:val="none"/>
          <w:u w:val="none"/>
        </w:rPr>
        <w:instrText xml:space="preserve"> HYPERLINK \l _Toc11686 </w:instrText>
      </w:r>
      <w:r>
        <w:rPr>
          <w:rFonts w:hint="default" w:ascii="Times New Roman" w:hAnsi="Times New Roman" w:eastAsia="方正小标宋简体" w:cs="Times New Roman"/>
          <w:b w:val="0"/>
          <w:bCs/>
          <w:color w:val="auto"/>
          <w:szCs w:val="30"/>
          <w:highlight w:val="none"/>
          <w:u w:val="none"/>
        </w:rPr>
        <w:fldChar w:fldCharType="separate"/>
      </w:r>
      <w:r>
        <w:rPr>
          <w:rFonts w:hint="default" w:ascii="Times New Roman" w:hAnsi="Times New Roman" w:eastAsia="方正小标宋简体" w:cs="Times New Roman"/>
          <w:b w:val="0"/>
          <w:bCs/>
          <w:color w:val="auto"/>
          <w:szCs w:val="30"/>
          <w:highlight w:val="none"/>
          <w:u w:val="none"/>
        </w:rPr>
        <w:t>第九章 保障措施</w:t>
      </w:r>
      <w:r>
        <w:rPr>
          <w:rFonts w:hint="default" w:ascii="Times New Roman" w:hAnsi="Times New Roman" w:eastAsia="方正小标宋简体" w:cs="Times New Roman"/>
          <w:b w:val="0"/>
          <w:bCs/>
          <w:color w:val="auto"/>
          <w:highlight w:val="none"/>
          <w:u w:val="none"/>
        </w:rPr>
        <w:tab/>
      </w:r>
      <w:r>
        <w:rPr>
          <w:rFonts w:hint="default" w:ascii="Times New Roman" w:hAnsi="Times New Roman" w:eastAsia="方正小标宋简体" w:cs="Times New Roman"/>
          <w:b w:val="0"/>
          <w:bCs/>
          <w:color w:val="auto"/>
          <w:highlight w:val="none"/>
          <w:u w:val="none"/>
        </w:rPr>
        <w:fldChar w:fldCharType="begin"/>
      </w:r>
      <w:r>
        <w:rPr>
          <w:rFonts w:hint="default" w:ascii="Times New Roman" w:hAnsi="Times New Roman" w:eastAsia="方正小标宋简体" w:cs="Times New Roman"/>
          <w:b w:val="0"/>
          <w:bCs/>
          <w:color w:val="auto"/>
          <w:highlight w:val="none"/>
          <w:u w:val="none"/>
        </w:rPr>
        <w:instrText xml:space="preserve"> PAGEREF _Toc11686 \h </w:instrText>
      </w:r>
      <w:r>
        <w:rPr>
          <w:rFonts w:hint="default" w:ascii="Times New Roman" w:hAnsi="Times New Roman" w:eastAsia="方正小标宋简体" w:cs="Times New Roman"/>
          <w:b w:val="0"/>
          <w:bCs/>
          <w:color w:val="auto"/>
          <w:highlight w:val="none"/>
          <w:u w:val="none"/>
        </w:rPr>
        <w:fldChar w:fldCharType="separate"/>
      </w:r>
      <w:r>
        <w:rPr>
          <w:rFonts w:hint="default" w:ascii="Times New Roman" w:hAnsi="Times New Roman" w:eastAsia="方正小标宋简体" w:cs="Times New Roman"/>
          <w:b w:val="0"/>
          <w:bCs/>
          <w:color w:val="auto"/>
          <w:highlight w:val="none"/>
          <w:u w:val="none"/>
        </w:rPr>
        <w:t>34</w:t>
      </w:r>
      <w:r>
        <w:rPr>
          <w:rFonts w:hint="default" w:ascii="Times New Roman" w:hAnsi="Times New Roman" w:eastAsia="方正小标宋简体" w:cs="Times New Roman"/>
          <w:b w:val="0"/>
          <w:bCs/>
          <w:color w:val="auto"/>
          <w:highlight w:val="none"/>
          <w:u w:val="none"/>
        </w:rPr>
        <w:fldChar w:fldCharType="end"/>
      </w:r>
      <w:r>
        <w:rPr>
          <w:rFonts w:hint="default" w:ascii="Times New Roman" w:hAnsi="Times New Roman" w:eastAsia="方正小标宋简体" w:cs="Times New Roman"/>
          <w:b w:val="0"/>
          <w:bCs/>
          <w:color w:val="auto"/>
          <w:szCs w:val="30"/>
          <w:highlight w:val="none"/>
          <w:u w:val="none"/>
        </w:rPr>
        <w:fldChar w:fldCharType="end"/>
      </w:r>
    </w:p>
    <w:p>
      <w:pPr>
        <w:pStyle w:val="5"/>
        <w:tabs>
          <w:tab w:val="right" w:leader="dot" w:pos="8732"/>
          <w:tab w:val="clear" w:pos="8948"/>
        </w:tabs>
        <w:spacing w:line="560" w:lineRule="exact"/>
        <w:ind w:left="0"/>
        <w:rPr>
          <w:rFonts w:hint="default" w:ascii="Times New Roman" w:hAnsi="Times New Roman" w:eastAsia="楷体_GB2312" w:cs="Times New Roman"/>
          <w:b w:val="0"/>
          <w:bCs/>
          <w:color w:val="auto"/>
          <w:sz w:val="30"/>
          <w:szCs w:val="30"/>
          <w:highlight w:val="none"/>
          <w:u w:val="none"/>
        </w:rPr>
      </w:pPr>
      <w:r>
        <w:rPr>
          <w:rFonts w:hint="default" w:ascii="Times New Roman" w:hAnsi="Times New Roman" w:eastAsia="楷体_GB2312" w:cs="Times New Roman"/>
          <w:b w:val="0"/>
          <w:bCs/>
          <w:color w:val="auto"/>
          <w:sz w:val="30"/>
          <w:szCs w:val="30"/>
          <w:highlight w:val="none"/>
          <w:u w:val="none"/>
        </w:rPr>
        <w:fldChar w:fldCharType="begin"/>
      </w:r>
      <w:r>
        <w:rPr>
          <w:rFonts w:hint="default" w:ascii="Times New Roman" w:hAnsi="Times New Roman" w:eastAsia="楷体_GB2312" w:cs="Times New Roman"/>
          <w:b w:val="0"/>
          <w:bCs/>
          <w:color w:val="auto"/>
          <w:sz w:val="30"/>
          <w:szCs w:val="30"/>
          <w:highlight w:val="none"/>
          <w:u w:val="none"/>
        </w:rPr>
        <w:instrText xml:space="preserve"> HYPERLINK \l _Toc4154 </w:instrText>
      </w:r>
      <w:r>
        <w:rPr>
          <w:rFonts w:hint="default" w:ascii="Times New Roman" w:hAnsi="Times New Roman" w:eastAsia="楷体_GB2312" w:cs="Times New Roman"/>
          <w:b w:val="0"/>
          <w:bCs/>
          <w:color w:val="auto"/>
          <w:sz w:val="30"/>
          <w:szCs w:val="30"/>
          <w:highlight w:val="none"/>
          <w:u w:val="none"/>
        </w:rPr>
        <w:fldChar w:fldCharType="separate"/>
      </w:r>
      <w:r>
        <w:rPr>
          <w:rFonts w:hint="default" w:ascii="Times New Roman" w:hAnsi="Times New Roman" w:eastAsia="楷体_GB2312" w:cs="Times New Roman"/>
          <w:b w:val="0"/>
          <w:bCs/>
          <w:color w:val="auto"/>
          <w:sz w:val="30"/>
          <w:szCs w:val="30"/>
          <w:highlight w:val="none"/>
          <w:u w:val="none"/>
        </w:rPr>
        <w:t>第</w:t>
      </w:r>
      <w:r>
        <w:rPr>
          <w:rFonts w:hint="default" w:ascii="Times New Roman" w:hAnsi="Times New Roman" w:eastAsia="楷体_GB2312" w:cs="Times New Roman"/>
          <w:b w:val="0"/>
          <w:bCs/>
          <w:color w:val="auto"/>
          <w:sz w:val="30"/>
          <w:szCs w:val="30"/>
          <w:highlight w:val="none"/>
          <w:u w:val="none"/>
          <w:lang w:eastAsia="zh-CN"/>
        </w:rPr>
        <w:t>一</w:t>
      </w:r>
      <w:r>
        <w:rPr>
          <w:rFonts w:hint="default" w:ascii="Times New Roman" w:hAnsi="Times New Roman" w:eastAsia="楷体_GB2312" w:cs="Times New Roman"/>
          <w:b w:val="0"/>
          <w:bCs/>
          <w:color w:val="auto"/>
          <w:sz w:val="30"/>
          <w:szCs w:val="30"/>
          <w:highlight w:val="none"/>
          <w:u w:val="none"/>
        </w:rPr>
        <w:t>节 法治保障</w:t>
      </w:r>
      <w:r>
        <w:rPr>
          <w:rFonts w:hint="default" w:ascii="Times New Roman" w:hAnsi="Times New Roman" w:eastAsia="楷体_GB2312" w:cs="Times New Roman"/>
          <w:b w:val="0"/>
          <w:bCs/>
          <w:color w:val="auto"/>
          <w:sz w:val="30"/>
          <w:szCs w:val="30"/>
          <w:highlight w:val="none"/>
          <w:u w:val="none"/>
        </w:rPr>
        <w:tab/>
      </w:r>
      <w:r>
        <w:rPr>
          <w:rFonts w:hint="default" w:ascii="Times New Roman" w:hAnsi="Times New Roman" w:eastAsia="楷体_GB2312" w:cs="Times New Roman"/>
          <w:b w:val="0"/>
          <w:bCs/>
          <w:color w:val="auto"/>
          <w:sz w:val="30"/>
          <w:szCs w:val="30"/>
          <w:highlight w:val="none"/>
          <w:u w:val="none"/>
        </w:rPr>
        <w:fldChar w:fldCharType="begin"/>
      </w:r>
      <w:r>
        <w:rPr>
          <w:rFonts w:hint="default" w:ascii="Times New Roman" w:hAnsi="Times New Roman" w:eastAsia="楷体_GB2312" w:cs="Times New Roman"/>
          <w:b w:val="0"/>
          <w:bCs/>
          <w:color w:val="auto"/>
          <w:sz w:val="30"/>
          <w:szCs w:val="30"/>
          <w:highlight w:val="none"/>
          <w:u w:val="none"/>
        </w:rPr>
        <w:instrText xml:space="preserve"> PAGEREF _Toc4154 \h </w:instrText>
      </w:r>
      <w:r>
        <w:rPr>
          <w:rFonts w:hint="default" w:ascii="Times New Roman" w:hAnsi="Times New Roman" w:eastAsia="楷体_GB2312" w:cs="Times New Roman"/>
          <w:b w:val="0"/>
          <w:bCs/>
          <w:color w:val="auto"/>
          <w:sz w:val="30"/>
          <w:szCs w:val="30"/>
          <w:highlight w:val="none"/>
          <w:u w:val="none"/>
        </w:rPr>
        <w:fldChar w:fldCharType="separate"/>
      </w:r>
      <w:r>
        <w:rPr>
          <w:rFonts w:hint="default" w:ascii="Times New Roman" w:hAnsi="Times New Roman" w:eastAsia="楷体_GB2312" w:cs="Times New Roman"/>
          <w:b w:val="0"/>
          <w:bCs/>
          <w:color w:val="auto"/>
          <w:sz w:val="30"/>
          <w:szCs w:val="30"/>
          <w:highlight w:val="none"/>
          <w:u w:val="none"/>
        </w:rPr>
        <w:t>34</w:t>
      </w:r>
      <w:r>
        <w:rPr>
          <w:rFonts w:hint="default" w:ascii="Times New Roman" w:hAnsi="Times New Roman" w:eastAsia="楷体_GB2312" w:cs="Times New Roman"/>
          <w:b w:val="0"/>
          <w:bCs/>
          <w:color w:val="auto"/>
          <w:sz w:val="30"/>
          <w:szCs w:val="30"/>
          <w:highlight w:val="none"/>
          <w:u w:val="none"/>
        </w:rPr>
        <w:fldChar w:fldCharType="end"/>
      </w:r>
      <w:r>
        <w:rPr>
          <w:rFonts w:hint="default" w:ascii="Times New Roman" w:hAnsi="Times New Roman" w:eastAsia="楷体_GB2312" w:cs="Times New Roman"/>
          <w:b w:val="0"/>
          <w:bCs/>
          <w:color w:val="auto"/>
          <w:sz w:val="30"/>
          <w:szCs w:val="30"/>
          <w:highlight w:val="none"/>
          <w:u w:val="none"/>
        </w:rPr>
        <w:fldChar w:fldCharType="end"/>
      </w:r>
    </w:p>
    <w:p>
      <w:pPr>
        <w:pStyle w:val="5"/>
        <w:tabs>
          <w:tab w:val="right" w:leader="dot" w:pos="8732"/>
          <w:tab w:val="clear" w:pos="8948"/>
        </w:tabs>
        <w:spacing w:line="560" w:lineRule="exact"/>
        <w:ind w:left="0"/>
        <w:rPr>
          <w:rFonts w:hint="default" w:ascii="Times New Roman" w:hAnsi="Times New Roman" w:eastAsia="楷体_GB2312" w:cs="Times New Roman"/>
          <w:b w:val="0"/>
          <w:bCs/>
          <w:color w:val="auto"/>
          <w:sz w:val="30"/>
          <w:szCs w:val="30"/>
          <w:highlight w:val="none"/>
          <w:u w:val="none"/>
        </w:rPr>
      </w:pPr>
      <w:r>
        <w:rPr>
          <w:rFonts w:hint="default" w:ascii="Times New Roman" w:hAnsi="Times New Roman" w:eastAsia="楷体_GB2312" w:cs="Times New Roman"/>
          <w:b w:val="0"/>
          <w:bCs/>
          <w:color w:val="auto"/>
          <w:sz w:val="30"/>
          <w:szCs w:val="30"/>
          <w:highlight w:val="none"/>
          <w:u w:val="none"/>
        </w:rPr>
        <w:fldChar w:fldCharType="begin"/>
      </w:r>
      <w:r>
        <w:rPr>
          <w:rFonts w:hint="default" w:ascii="Times New Roman" w:hAnsi="Times New Roman" w:eastAsia="楷体_GB2312" w:cs="Times New Roman"/>
          <w:b w:val="0"/>
          <w:bCs/>
          <w:color w:val="auto"/>
          <w:sz w:val="30"/>
          <w:szCs w:val="30"/>
          <w:highlight w:val="none"/>
          <w:u w:val="none"/>
        </w:rPr>
        <w:instrText xml:space="preserve"> HYPERLINK \l _Toc24467 </w:instrText>
      </w:r>
      <w:r>
        <w:rPr>
          <w:rFonts w:hint="default" w:ascii="Times New Roman" w:hAnsi="Times New Roman" w:eastAsia="楷体_GB2312" w:cs="Times New Roman"/>
          <w:b w:val="0"/>
          <w:bCs/>
          <w:color w:val="auto"/>
          <w:sz w:val="30"/>
          <w:szCs w:val="30"/>
          <w:highlight w:val="none"/>
          <w:u w:val="none"/>
        </w:rPr>
        <w:fldChar w:fldCharType="separate"/>
      </w:r>
      <w:r>
        <w:rPr>
          <w:rFonts w:hint="default" w:ascii="Times New Roman" w:hAnsi="Times New Roman" w:eastAsia="楷体_GB2312" w:cs="Times New Roman"/>
          <w:b w:val="0"/>
          <w:bCs/>
          <w:color w:val="auto"/>
          <w:sz w:val="30"/>
          <w:szCs w:val="30"/>
          <w:highlight w:val="none"/>
          <w:u w:val="none"/>
        </w:rPr>
        <w:t>第二节 组织保障</w:t>
      </w:r>
      <w:r>
        <w:rPr>
          <w:rFonts w:hint="default" w:ascii="Times New Roman" w:hAnsi="Times New Roman" w:eastAsia="楷体_GB2312" w:cs="Times New Roman"/>
          <w:b w:val="0"/>
          <w:bCs/>
          <w:color w:val="auto"/>
          <w:sz w:val="30"/>
          <w:szCs w:val="30"/>
          <w:highlight w:val="none"/>
          <w:u w:val="none"/>
        </w:rPr>
        <w:tab/>
      </w:r>
      <w:r>
        <w:rPr>
          <w:rFonts w:hint="default" w:ascii="Times New Roman" w:hAnsi="Times New Roman" w:eastAsia="楷体_GB2312" w:cs="Times New Roman"/>
          <w:b w:val="0"/>
          <w:bCs/>
          <w:color w:val="auto"/>
          <w:sz w:val="30"/>
          <w:szCs w:val="30"/>
          <w:highlight w:val="none"/>
          <w:u w:val="none"/>
        </w:rPr>
        <w:fldChar w:fldCharType="begin"/>
      </w:r>
      <w:r>
        <w:rPr>
          <w:rFonts w:hint="default" w:ascii="Times New Roman" w:hAnsi="Times New Roman" w:eastAsia="楷体_GB2312" w:cs="Times New Roman"/>
          <w:b w:val="0"/>
          <w:bCs/>
          <w:color w:val="auto"/>
          <w:sz w:val="30"/>
          <w:szCs w:val="30"/>
          <w:highlight w:val="none"/>
          <w:u w:val="none"/>
        </w:rPr>
        <w:instrText xml:space="preserve"> PAGEREF _Toc24467 \h </w:instrText>
      </w:r>
      <w:r>
        <w:rPr>
          <w:rFonts w:hint="default" w:ascii="Times New Roman" w:hAnsi="Times New Roman" w:eastAsia="楷体_GB2312" w:cs="Times New Roman"/>
          <w:b w:val="0"/>
          <w:bCs/>
          <w:color w:val="auto"/>
          <w:sz w:val="30"/>
          <w:szCs w:val="30"/>
          <w:highlight w:val="none"/>
          <w:u w:val="none"/>
        </w:rPr>
        <w:fldChar w:fldCharType="separate"/>
      </w:r>
      <w:r>
        <w:rPr>
          <w:rFonts w:hint="default" w:ascii="Times New Roman" w:hAnsi="Times New Roman" w:eastAsia="楷体_GB2312" w:cs="Times New Roman"/>
          <w:b w:val="0"/>
          <w:bCs/>
          <w:color w:val="auto"/>
          <w:sz w:val="30"/>
          <w:szCs w:val="30"/>
          <w:highlight w:val="none"/>
          <w:u w:val="none"/>
        </w:rPr>
        <w:t>35</w:t>
      </w:r>
      <w:r>
        <w:rPr>
          <w:rFonts w:hint="default" w:ascii="Times New Roman" w:hAnsi="Times New Roman" w:eastAsia="楷体_GB2312" w:cs="Times New Roman"/>
          <w:b w:val="0"/>
          <w:bCs/>
          <w:color w:val="auto"/>
          <w:sz w:val="30"/>
          <w:szCs w:val="30"/>
          <w:highlight w:val="none"/>
          <w:u w:val="none"/>
        </w:rPr>
        <w:fldChar w:fldCharType="end"/>
      </w:r>
      <w:r>
        <w:rPr>
          <w:rFonts w:hint="default" w:ascii="Times New Roman" w:hAnsi="Times New Roman" w:eastAsia="楷体_GB2312" w:cs="Times New Roman"/>
          <w:b w:val="0"/>
          <w:bCs/>
          <w:color w:val="auto"/>
          <w:sz w:val="30"/>
          <w:szCs w:val="30"/>
          <w:highlight w:val="none"/>
          <w:u w:val="none"/>
        </w:rPr>
        <w:fldChar w:fldCharType="end"/>
      </w:r>
    </w:p>
    <w:p>
      <w:pPr>
        <w:pStyle w:val="5"/>
        <w:tabs>
          <w:tab w:val="right" w:leader="dot" w:pos="8732"/>
          <w:tab w:val="clear" w:pos="8948"/>
        </w:tabs>
        <w:spacing w:line="560" w:lineRule="exact"/>
        <w:ind w:left="0"/>
        <w:rPr>
          <w:rFonts w:hint="default" w:ascii="Times New Roman" w:hAnsi="Times New Roman" w:eastAsia="楷体_GB2312" w:cs="Times New Roman"/>
          <w:b w:val="0"/>
          <w:bCs/>
          <w:color w:val="auto"/>
          <w:sz w:val="30"/>
          <w:szCs w:val="30"/>
          <w:highlight w:val="none"/>
          <w:u w:val="none"/>
        </w:rPr>
      </w:pPr>
      <w:r>
        <w:rPr>
          <w:rFonts w:hint="default" w:ascii="Times New Roman" w:hAnsi="Times New Roman" w:eastAsia="楷体_GB2312" w:cs="Times New Roman"/>
          <w:b w:val="0"/>
          <w:bCs/>
          <w:color w:val="auto"/>
          <w:sz w:val="30"/>
          <w:szCs w:val="30"/>
          <w:highlight w:val="none"/>
          <w:u w:val="none"/>
        </w:rPr>
        <w:fldChar w:fldCharType="begin"/>
      </w:r>
      <w:r>
        <w:rPr>
          <w:rFonts w:hint="default" w:ascii="Times New Roman" w:hAnsi="Times New Roman" w:eastAsia="楷体_GB2312" w:cs="Times New Roman"/>
          <w:b w:val="0"/>
          <w:bCs/>
          <w:color w:val="auto"/>
          <w:sz w:val="30"/>
          <w:szCs w:val="30"/>
          <w:highlight w:val="none"/>
          <w:u w:val="none"/>
        </w:rPr>
        <w:instrText xml:space="preserve"> HYPERLINK \l _Toc892 </w:instrText>
      </w:r>
      <w:r>
        <w:rPr>
          <w:rFonts w:hint="default" w:ascii="Times New Roman" w:hAnsi="Times New Roman" w:eastAsia="楷体_GB2312" w:cs="Times New Roman"/>
          <w:b w:val="0"/>
          <w:bCs/>
          <w:color w:val="auto"/>
          <w:sz w:val="30"/>
          <w:szCs w:val="30"/>
          <w:highlight w:val="none"/>
          <w:u w:val="none"/>
        </w:rPr>
        <w:fldChar w:fldCharType="separate"/>
      </w:r>
      <w:r>
        <w:rPr>
          <w:rFonts w:hint="default" w:ascii="Times New Roman" w:hAnsi="Times New Roman" w:eastAsia="楷体_GB2312" w:cs="Times New Roman"/>
          <w:b w:val="0"/>
          <w:bCs/>
          <w:color w:val="auto"/>
          <w:sz w:val="30"/>
          <w:szCs w:val="30"/>
          <w:highlight w:val="none"/>
          <w:u w:val="none"/>
        </w:rPr>
        <w:t xml:space="preserve">第三节 </w:t>
      </w:r>
      <w:r>
        <w:rPr>
          <w:rFonts w:hint="default" w:ascii="Times New Roman" w:hAnsi="Times New Roman" w:eastAsia="楷体_GB2312" w:cs="Times New Roman"/>
          <w:b w:val="0"/>
          <w:bCs/>
          <w:color w:val="auto"/>
          <w:sz w:val="30"/>
          <w:szCs w:val="30"/>
          <w:highlight w:val="none"/>
          <w:u w:val="none"/>
          <w:lang w:eastAsia="zh-CN"/>
        </w:rPr>
        <w:t>投入</w:t>
      </w:r>
      <w:r>
        <w:rPr>
          <w:rFonts w:hint="default" w:ascii="Times New Roman" w:hAnsi="Times New Roman" w:eastAsia="楷体_GB2312" w:cs="Times New Roman"/>
          <w:b w:val="0"/>
          <w:bCs/>
          <w:color w:val="auto"/>
          <w:sz w:val="30"/>
          <w:szCs w:val="30"/>
          <w:highlight w:val="none"/>
          <w:u w:val="none"/>
        </w:rPr>
        <w:t>保障</w:t>
      </w:r>
      <w:r>
        <w:rPr>
          <w:rFonts w:hint="default" w:ascii="Times New Roman" w:hAnsi="Times New Roman" w:eastAsia="楷体_GB2312" w:cs="Times New Roman"/>
          <w:b w:val="0"/>
          <w:bCs/>
          <w:color w:val="auto"/>
          <w:sz w:val="30"/>
          <w:szCs w:val="30"/>
          <w:highlight w:val="none"/>
          <w:u w:val="none"/>
        </w:rPr>
        <w:tab/>
      </w:r>
      <w:r>
        <w:rPr>
          <w:rFonts w:hint="default" w:ascii="Times New Roman" w:hAnsi="Times New Roman" w:eastAsia="楷体_GB2312" w:cs="Times New Roman"/>
          <w:b w:val="0"/>
          <w:bCs/>
          <w:color w:val="auto"/>
          <w:sz w:val="30"/>
          <w:szCs w:val="30"/>
          <w:highlight w:val="none"/>
          <w:u w:val="none"/>
        </w:rPr>
        <w:fldChar w:fldCharType="begin"/>
      </w:r>
      <w:r>
        <w:rPr>
          <w:rFonts w:hint="default" w:ascii="Times New Roman" w:hAnsi="Times New Roman" w:eastAsia="楷体_GB2312" w:cs="Times New Roman"/>
          <w:b w:val="0"/>
          <w:bCs/>
          <w:color w:val="auto"/>
          <w:sz w:val="30"/>
          <w:szCs w:val="30"/>
          <w:highlight w:val="none"/>
          <w:u w:val="none"/>
        </w:rPr>
        <w:instrText xml:space="preserve"> PAGEREF _Toc892 \h </w:instrText>
      </w:r>
      <w:r>
        <w:rPr>
          <w:rFonts w:hint="default" w:ascii="Times New Roman" w:hAnsi="Times New Roman" w:eastAsia="楷体_GB2312" w:cs="Times New Roman"/>
          <w:b w:val="0"/>
          <w:bCs/>
          <w:color w:val="auto"/>
          <w:sz w:val="30"/>
          <w:szCs w:val="30"/>
          <w:highlight w:val="none"/>
          <w:u w:val="none"/>
        </w:rPr>
        <w:fldChar w:fldCharType="separate"/>
      </w:r>
      <w:r>
        <w:rPr>
          <w:rFonts w:hint="default" w:ascii="Times New Roman" w:hAnsi="Times New Roman" w:eastAsia="楷体_GB2312" w:cs="Times New Roman"/>
          <w:b w:val="0"/>
          <w:bCs/>
          <w:color w:val="auto"/>
          <w:sz w:val="30"/>
          <w:szCs w:val="30"/>
          <w:highlight w:val="none"/>
          <w:u w:val="none"/>
        </w:rPr>
        <w:t>35</w:t>
      </w:r>
      <w:r>
        <w:rPr>
          <w:rFonts w:hint="default" w:ascii="Times New Roman" w:hAnsi="Times New Roman" w:eastAsia="楷体_GB2312" w:cs="Times New Roman"/>
          <w:b w:val="0"/>
          <w:bCs/>
          <w:color w:val="auto"/>
          <w:sz w:val="30"/>
          <w:szCs w:val="30"/>
          <w:highlight w:val="none"/>
          <w:u w:val="none"/>
        </w:rPr>
        <w:fldChar w:fldCharType="end"/>
      </w:r>
      <w:r>
        <w:rPr>
          <w:rFonts w:hint="default" w:ascii="Times New Roman" w:hAnsi="Times New Roman" w:eastAsia="楷体_GB2312" w:cs="Times New Roman"/>
          <w:b w:val="0"/>
          <w:bCs/>
          <w:color w:val="auto"/>
          <w:sz w:val="30"/>
          <w:szCs w:val="30"/>
          <w:highlight w:val="none"/>
          <w:u w:val="none"/>
        </w:rPr>
        <w:fldChar w:fldCharType="end"/>
      </w:r>
    </w:p>
    <w:p>
      <w:pPr>
        <w:pStyle w:val="5"/>
        <w:tabs>
          <w:tab w:val="right" w:leader="dot" w:pos="8732"/>
          <w:tab w:val="clear" w:pos="8948"/>
        </w:tabs>
        <w:spacing w:line="560" w:lineRule="exact"/>
        <w:ind w:left="0"/>
        <w:rPr>
          <w:rFonts w:hint="default" w:ascii="Times New Roman" w:hAnsi="Times New Roman" w:eastAsia="楷体_GB2312" w:cs="Times New Roman"/>
          <w:b w:val="0"/>
          <w:bCs/>
          <w:color w:val="auto"/>
          <w:sz w:val="30"/>
          <w:szCs w:val="30"/>
          <w:highlight w:val="none"/>
          <w:u w:val="none"/>
        </w:rPr>
      </w:pPr>
      <w:r>
        <w:rPr>
          <w:rFonts w:hint="default" w:ascii="Times New Roman" w:hAnsi="Times New Roman" w:eastAsia="楷体_GB2312" w:cs="Times New Roman"/>
          <w:b w:val="0"/>
          <w:bCs/>
          <w:color w:val="auto"/>
          <w:sz w:val="30"/>
          <w:szCs w:val="30"/>
          <w:highlight w:val="none"/>
          <w:u w:val="none"/>
        </w:rPr>
        <w:fldChar w:fldCharType="begin"/>
      </w:r>
      <w:r>
        <w:rPr>
          <w:rFonts w:hint="default" w:ascii="Times New Roman" w:hAnsi="Times New Roman" w:eastAsia="楷体_GB2312" w:cs="Times New Roman"/>
          <w:b w:val="0"/>
          <w:bCs/>
          <w:color w:val="auto"/>
          <w:sz w:val="30"/>
          <w:szCs w:val="30"/>
          <w:highlight w:val="none"/>
          <w:u w:val="none"/>
        </w:rPr>
        <w:instrText xml:space="preserve"> HYPERLINK \l _Toc15444 </w:instrText>
      </w:r>
      <w:r>
        <w:rPr>
          <w:rFonts w:hint="default" w:ascii="Times New Roman" w:hAnsi="Times New Roman" w:eastAsia="楷体_GB2312" w:cs="Times New Roman"/>
          <w:b w:val="0"/>
          <w:bCs/>
          <w:color w:val="auto"/>
          <w:sz w:val="30"/>
          <w:szCs w:val="30"/>
          <w:highlight w:val="none"/>
          <w:u w:val="none"/>
        </w:rPr>
        <w:fldChar w:fldCharType="separate"/>
      </w:r>
      <w:r>
        <w:rPr>
          <w:rFonts w:hint="default" w:ascii="Times New Roman" w:hAnsi="Times New Roman" w:eastAsia="楷体_GB2312" w:cs="Times New Roman"/>
          <w:b w:val="0"/>
          <w:bCs/>
          <w:color w:val="auto"/>
          <w:sz w:val="30"/>
          <w:szCs w:val="30"/>
          <w:highlight w:val="none"/>
          <w:u w:val="none"/>
          <w:lang w:eastAsia="zh-CN"/>
        </w:rPr>
        <w:t>第四节 能力保障</w:t>
      </w:r>
      <w:r>
        <w:rPr>
          <w:rFonts w:hint="default" w:ascii="Times New Roman" w:hAnsi="Times New Roman" w:eastAsia="楷体_GB2312" w:cs="Times New Roman"/>
          <w:b w:val="0"/>
          <w:bCs/>
          <w:color w:val="auto"/>
          <w:sz w:val="30"/>
          <w:szCs w:val="30"/>
          <w:highlight w:val="none"/>
          <w:u w:val="none"/>
        </w:rPr>
        <w:tab/>
      </w:r>
      <w:r>
        <w:rPr>
          <w:rFonts w:hint="default" w:ascii="Times New Roman" w:hAnsi="Times New Roman" w:eastAsia="楷体_GB2312" w:cs="Times New Roman"/>
          <w:b w:val="0"/>
          <w:bCs/>
          <w:color w:val="auto"/>
          <w:sz w:val="30"/>
          <w:szCs w:val="30"/>
          <w:highlight w:val="none"/>
          <w:u w:val="none"/>
        </w:rPr>
        <w:fldChar w:fldCharType="begin"/>
      </w:r>
      <w:r>
        <w:rPr>
          <w:rFonts w:hint="default" w:ascii="Times New Roman" w:hAnsi="Times New Roman" w:eastAsia="楷体_GB2312" w:cs="Times New Roman"/>
          <w:b w:val="0"/>
          <w:bCs/>
          <w:color w:val="auto"/>
          <w:sz w:val="30"/>
          <w:szCs w:val="30"/>
          <w:highlight w:val="none"/>
          <w:u w:val="none"/>
        </w:rPr>
        <w:instrText xml:space="preserve"> PAGEREF _Toc15444 \h </w:instrText>
      </w:r>
      <w:r>
        <w:rPr>
          <w:rFonts w:hint="default" w:ascii="Times New Roman" w:hAnsi="Times New Roman" w:eastAsia="楷体_GB2312" w:cs="Times New Roman"/>
          <w:b w:val="0"/>
          <w:bCs/>
          <w:color w:val="auto"/>
          <w:sz w:val="30"/>
          <w:szCs w:val="30"/>
          <w:highlight w:val="none"/>
          <w:u w:val="none"/>
        </w:rPr>
        <w:fldChar w:fldCharType="separate"/>
      </w:r>
      <w:r>
        <w:rPr>
          <w:rFonts w:hint="default" w:ascii="Times New Roman" w:hAnsi="Times New Roman" w:eastAsia="楷体_GB2312" w:cs="Times New Roman"/>
          <w:b w:val="0"/>
          <w:bCs/>
          <w:color w:val="auto"/>
          <w:sz w:val="30"/>
          <w:szCs w:val="30"/>
          <w:highlight w:val="none"/>
          <w:u w:val="none"/>
        </w:rPr>
        <w:t>36</w:t>
      </w:r>
      <w:r>
        <w:rPr>
          <w:rFonts w:hint="default" w:ascii="Times New Roman" w:hAnsi="Times New Roman" w:eastAsia="楷体_GB2312" w:cs="Times New Roman"/>
          <w:b w:val="0"/>
          <w:bCs/>
          <w:color w:val="auto"/>
          <w:sz w:val="30"/>
          <w:szCs w:val="30"/>
          <w:highlight w:val="none"/>
          <w:u w:val="none"/>
        </w:rPr>
        <w:fldChar w:fldCharType="end"/>
      </w:r>
      <w:r>
        <w:rPr>
          <w:rFonts w:hint="default" w:ascii="Times New Roman" w:hAnsi="Times New Roman" w:eastAsia="楷体_GB2312" w:cs="Times New Roman"/>
          <w:b w:val="0"/>
          <w:bCs/>
          <w:color w:val="auto"/>
          <w:sz w:val="30"/>
          <w:szCs w:val="30"/>
          <w:highlight w:val="none"/>
          <w:u w:val="none"/>
        </w:rPr>
        <w:fldChar w:fldCharType="end"/>
      </w:r>
    </w:p>
    <w:p>
      <w:pPr>
        <w:pStyle w:val="5"/>
        <w:tabs>
          <w:tab w:val="right" w:leader="dot" w:pos="8732"/>
          <w:tab w:val="clear" w:pos="8948"/>
        </w:tabs>
        <w:spacing w:line="560" w:lineRule="exact"/>
        <w:ind w:left="0"/>
        <w:rPr>
          <w:rFonts w:hint="default" w:ascii="Times New Roman" w:hAnsi="Times New Roman" w:eastAsia="楷体_GB2312" w:cs="Times New Roman"/>
          <w:b w:val="0"/>
          <w:bCs/>
          <w:color w:val="auto"/>
          <w:sz w:val="30"/>
          <w:szCs w:val="30"/>
          <w:highlight w:val="none"/>
          <w:u w:val="none"/>
        </w:rPr>
      </w:pPr>
      <w:r>
        <w:rPr>
          <w:rFonts w:hint="default" w:ascii="Times New Roman" w:hAnsi="Times New Roman" w:eastAsia="楷体_GB2312" w:cs="Times New Roman"/>
          <w:b w:val="0"/>
          <w:bCs/>
          <w:color w:val="auto"/>
          <w:sz w:val="30"/>
          <w:szCs w:val="30"/>
          <w:highlight w:val="none"/>
          <w:u w:val="none"/>
        </w:rPr>
        <w:fldChar w:fldCharType="begin"/>
      </w:r>
      <w:r>
        <w:rPr>
          <w:rFonts w:hint="default" w:ascii="Times New Roman" w:hAnsi="Times New Roman" w:eastAsia="楷体_GB2312" w:cs="Times New Roman"/>
          <w:b w:val="0"/>
          <w:bCs/>
          <w:color w:val="auto"/>
          <w:sz w:val="30"/>
          <w:szCs w:val="30"/>
          <w:highlight w:val="none"/>
          <w:u w:val="none"/>
        </w:rPr>
        <w:instrText xml:space="preserve"> HYPERLINK \l _Toc21694 </w:instrText>
      </w:r>
      <w:r>
        <w:rPr>
          <w:rFonts w:hint="default" w:ascii="Times New Roman" w:hAnsi="Times New Roman" w:eastAsia="楷体_GB2312" w:cs="Times New Roman"/>
          <w:b w:val="0"/>
          <w:bCs/>
          <w:color w:val="auto"/>
          <w:sz w:val="30"/>
          <w:szCs w:val="30"/>
          <w:highlight w:val="none"/>
          <w:u w:val="none"/>
        </w:rPr>
        <w:fldChar w:fldCharType="separate"/>
      </w:r>
      <w:r>
        <w:rPr>
          <w:rFonts w:hint="default" w:ascii="Times New Roman" w:hAnsi="Times New Roman" w:eastAsia="楷体_GB2312" w:cs="Times New Roman"/>
          <w:b w:val="0"/>
          <w:bCs/>
          <w:color w:val="auto"/>
          <w:sz w:val="30"/>
          <w:szCs w:val="30"/>
          <w:highlight w:val="none"/>
          <w:u w:val="none"/>
          <w:lang w:eastAsia="zh-CN"/>
        </w:rPr>
        <w:t>第五节 实施保障</w:t>
      </w:r>
      <w:r>
        <w:rPr>
          <w:rFonts w:hint="default" w:ascii="Times New Roman" w:hAnsi="Times New Roman" w:eastAsia="楷体_GB2312" w:cs="Times New Roman"/>
          <w:b w:val="0"/>
          <w:bCs/>
          <w:color w:val="auto"/>
          <w:sz w:val="30"/>
          <w:szCs w:val="30"/>
          <w:highlight w:val="none"/>
          <w:u w:val="none"/>
        </w:rPr>
        <w:tab/>
      </w:r>
      <w:r>
        <w:rPr>
          <w:rFonts w:hint="default" w:ascii="Times New Roman" w:hAnsi="Times New Roman" w:eastAsia="楷体_GB2312" w:cs="Times New Roman"/>
          <w:b w:val="0"/>
          <w:bCs/>
          <w:color w:val="auto"/>
          <w:sz w:val="30"/>
          <w:szCs w:val="30"/>
          <w:highlight w:val="none"/>
          <w:u w:val="none"/>
        </w:rPr>
        <w:fldChar w:fldCharType="begin"/>
      </w:r>
      <w:r>
        <w:rPr>
          <w:rFonts w:hint="default" w:ascii="Times New Roman" w:hAnsi="Times New Roman" w:eastAsia="楷体_GB2312" w:cs="Times New Roman"/>
          <w:b w:val="0"/>
          <w:bCs/>
          <w:color w:val="auto"/>
          <w:sz w:val="30"/>
          <w:szCs w:val="30"/>
          <w:highlight w:val="none"/>
          <w:u w:val="none"/>
        </w:rPr>
        <w:instrText xml:space="preserve"> PAGEREF _Toc21694 \h </w:instrText>
      </w:r>
      <w:r>
        <w:rPr>
          <w:rFonts w:hint="default" w:ascii="Times New Roman" w:hAnsi="Times New Roman" w:eastAsia="楷体_GB2312" w:cs="Times New Roman"/>
          <w:b w:val="0"/>
          <w:bCs/>
          <w:color w:val="auto"/>
          <w:sz w:val="30"/>
          <w:szCs w:val="30"/>
          <w:highlight w:val="none"/>
          <w:u w:val="none"/>
        </w:rPr>
        <w:fldChar w:fldCharType="separate"/>
      </w:r>
      <w:r>
        <w:rPr>
          <w:rFonts w:hint="default" w:ascii="Times New Roman" w:hAnsi="Times New Roman" w:eastAsia="楷体_GB2312" w:cs="Times New Roman"/>
          <w:b w:val="0"/>
          <w:bCs/>
          <w:color w:val="auto"/>
          <w:sz w:val="30"/>
          <w:szCs w:val="30"/>
          <w:highlight w:val="none"/>
          <w:u w:val="none"/>
        </w:rPr>
        <w:t>37</w:t>
      </w:r>
      <w:r>
        <w:rPr>
          <w:rFonts w:hint="default" w:ascii="Times New Roman" w:hAnsi="Times New Roman" w:eastAsia="楷体_GB2312" w:cs="Times New Roman"/>
          <w:b w:val="0"/>
          <w:bCs/>
          <w:color w:val="auto"/>
          <w:sz w:val="30"/>
          <w:szCs w:val="30"/>
          <w:highlight w:val="none"/>
          <w:u w:val="none"/>
        </w:rPr>
        <w:fldChar w:fldCharType="end"/>
      </w:r>
      <w:r>
        <w:rPr>
          <w:rFonts w:hint="default" w:ascii="Times New Roman" w:hAnsi="Times New Roman" w:eastAsia="楷体_GB2312" w:cs="Times New Roman"/>
          <w:b w:val="0"/>
          <w:bCs/>
          <w:color w:val="auto"/>
          <w:sz w:val="30"/>
          <w:szCs w:val="30"/>
          <w:highlight w:val="none"/>
          <w:u w:val="none"/>
        </w:rPr>
        <w:fldChar w:fldCharType="end"/>
      </w:r>
    </w:p>
    <w:p>
      <w:pPr>
        <w:spacing w:line="600" w:lineRule="exact"/>
        <w:rPr>
          <w:rFonts w:hint="default" w:ascii="Times New Roman" w:hAnsi="Times New Roman" w:eastAsia="楷体_GB2312" w:cs="Times New Roman"/>
          <w:b w:val="0"/>
          <w:bCs w:val="0"/>
          <w:color w:val="auto"/>
          <w:sz w:val="32"/>
          <w:szCs w:val="32"/>
          <w:highlight w:val="none"/>
          <w:u w:val="none"/>
        </w:rPr>
      </w:pPr>
      <w:r>
        <w:rPr>
          <w:rFonts w:hint="default" w:ascii="Times New Roman" w:hAnsi="Times New Roman" w:eastAsia="楷体_GB2312" w:cs="Times New Roman"/>
          <w:b w:val="0"/>
          <w:bCs w:val="0"/>
          <w:color w:val="auto"/>
          <w:sz w:val="32"/>
          <w:szCs w:val="32"/>
          <w:highlight w:val="none"/>
          <w:u w:val="none"/>
        </w:rPr>
        <w:fldChar w:fldCharType="end"/>
      </w:r>
    </w:p>
    <w:p>
      <w:pPr>
        <w:pStyle w:val="3"/>
        <w:spacing w:before="0" w:beforeLines="0" w:beforeAutospacing="0" w:after="0" w:afterLines="0" w:afterAutospacing="0" w:line="600" w:lineRule="exact"/>
        <w:jc w:val="center"/>
        <w:rPr>
          <w:rStyle w:val="15"/>
          <w:rFonts w:hint="default" w:ascii="Times New Roman" w:hAnsi="Times New Roman" w:eastAsia="方正小标宋简体" w:cs="Times New Roman"/>
          <w:b w:val="0"/>
          <w:color w:val="auto"/>
          <w:sz w:val="36"/>
          <w:szCs w:val="36"/>
          <w:highlight w:val="none"/>
          <w:u w:val="none"/>
        </w:rPr>
        <w:sectPr>
          <w:footerReference r:id="rId7" w:type="default"/>
          <w:pgSz w:w="11906" w:h="16838"/>
          <w:pgMar w:top="2098" w:right="1587" w:bottom="1587" w:left="1587" w:header="851" w:footer="992" w:gutter="0"/>
          <w:pgNumType w:fmt="numberInDash" w:start="1"/>
          <w:cols w:space="720" w:num="1"/>
          <w:docGrid w:type="lines" w:linePitch="312" w:charSpace="0"/>
        </w:sectPr>
      </w:pPr>
    </w:p>
    <w:p>
      <w:pPr>
        <w:pStyle w:val="3"/>
        <w:spacing w:before="0" w:beforeLines="0" w:beforeAutospacing="0" w:after="0" w:afterLines="0" w:afterAutospacing="0" w:line="600" w:lineRule="exact"/>
        <w:jc w:val="center"/>
        <w:rPr>
          <w:rStyle w:val="15"/>
          <w:rFonts w:hint="default" w:ascii="Times New Roman" w:hAnsi="Times New Roman" w:eastAsia="方正小标宋简体" w:cs="Times New Roman"/>
          <w:b w:val="0"/>
          <w:color w:val="auto"/>
          <w:sz w:val="36"/>
          <w:szCs w:val="36"/>
          <w:highlight w:val="none"/>
          <w:u w:val="none"/>
        </w:rPr>
      </w:pPr>
      <w:r>
        <w:rPr>
          <w:rStyle w:val="15"/>
          <w:rFonts w:hint="default" w:ascii="Times New Roman" w:hAnsi="Times New Roman" w:eastAsia="方正小标宋简体" w:cs="Times New Roman"/>
          <w:b w:val="0"/>
          <w:color w:val="auto"/>
          <w:sz w:val="36"/>
          <w:szCs w:val="36"/>
          <w:highlight w:val="none"/>
          <w:u w:val="none"/>
        </w:rPr>
        <w:t>前  言</w:t>
      </w:r>
    </w:p>
    <w:p>
      <w:pPr>
        <w:snapToGrid w:val="0"/>
        <w:spacing w:line="600" w:lineRule="exact"/>
        <w:ind w:firstLine="640" w:firstLineChars="200"/>
        <w:rPr>
          <w:rFonts w:hint="default" w:ascii="Times New Roman" w:hAnsi="Times New Roman" w:eastAsia="仿宋" w:cs="Times New Roman"/>
          <w:color w:val="auto"/>
          <w:sz w:val="32"/>
          <w:highlight w:val="none"/>
          <w:u w:val="none"/>
        </w:rPr>
      </w:pPr>
    </w:p>
    <w:p>
      <w:pPr>
        <w:snapToGrid w:val="0"/>
        <w:spacing w:line="600" w:lineRule="exact"/>
        <w:ind w:firstLine="640" w:firstLineChars="200"/>
        <w:rPr>
          <w:rFonts w:hint="eastAsia" w:ascii="仿宋_GB2312" w:hAnsi="仿宋_GB2312" w:eastAsia="仿宋_GB2312" w:cs="仿宋_GB2312"/>
          <w:color w:val="auto"/>
          <w:sz w:val="32"/>
          <w:szCs w:val="22"/>
          <w:highlight w:val="none"/>
          <w:u w:val="none"/>
        </w:rPr>
      </w:pPr>
      <w:r>
        <w:rPr>
          <w:rFonts w:hint="eastAsia" w:ascii="仿宋_GB2312" w:hAnsi="仿宋_GB2312" w:eastAsia="仿宋_GB2312" w:cs="仿宋_GB2312"/>
          <w:color w:val="auto"/>
          <w:sz w:val="32"/>
          <w:highlight w:val="none"/>
          <w:u w:val="none"/>
        </w:rPr>
        <w:t>“十四五”规划是我国开启全面建设</w:t>
      </w:r>
      <w:r>
        <w:rPr>
          <w:rFonts w:hint="eastAsia" w:ascii="仿宋_GB2312" w:hAnsi="仿宋_GB2312" w:eastAsia="仿宋_GB2312" w:cs="仿宋_GB2312"/>
          <w:color w:val="auto"/>
          <w:sz w:val="32"/>
          <w:szCs w:val="32"/>
          <w:highlight w:val="none"/>
          <w:u w:val="none"/>
        </w:rPr>
        <w:t>社会主义现代化国家新征程、向第二个百年奋斗目标进军的第一个五年规划。</w:t>
      </w:r>
      <w:r>
        <w:rPr>
          <w:rFonts w:hint="eastAsia" w:ascii="仿宋_GB2312" w:hAnsi="仿宋_GB2312" w:eastAsia="仿宋_GB2312" w:cs="仿宋_GB2312"/>
          <w:color w:val="auto"/>
          <w:sz w:val="32"/>
          <w:highlight w:val="none"/>
          <w:u w:val="none"/>
        </w:rPr>
        <w:t>坚持以习近平新时代中国特色社会主义思想为指导，全面贯彻党的十九大和十九届</w:t>
      </w:r>
      <w:r>
        <w:rPr>
          <w:rFonts w:hint="eastAsia" w:hAnsi="仿宋_GB2312" w:cs="仿宋_GB2312"/>
          <w:color w:val="auto"/>
          <w:sz w:val="32"/>
          <w:highlight w:val="none"/>
          <w:u w:val="none"/>
          <w:lang w:eastAsia="zh-CN"/>
        </w:rPr>
        <w:t>历次</w:t>
      </w:r>
      <w:r>
        <w:rPr>
          <w:rFonts w:hint="eastAsia" w:ascii="仿宋_GB2312" w:hAnsi="仿宋_GB2312" w:eastAsia="仿宋_GB2312" w:cs="仿宋_GB2312"/>
          <w:color w:val="auto"/>
          <w:sz w:val="32"/>
          <w:highlight w:val="none"/>
          <w:u w:val="none"/>
        </w:rPr>
        <w:t>全会精神以及习近平总书记关于医疗保障工作系列重要论述和重要指示批示精神，深入学习贯彻习近平总书记对广东重要讲话和重要指示批示精神，将医疗保障作为提升民众幸福感、获得感，增进民生福祉、维护社会和谐稳定的重要民生工程</w:t>
      </w:r>
      <w:r>
        <w:rPr>
          <w:rFonts w:hint="eastAsia" w:ascii="仿宋_GB2312" w:hAnsi="仿宋_GB2312" w:eastAsia="仿宋_GB2312" w:cs="仿宋_GB2312"/>
          <w:color w:val="auto"/>
          <w:sz w:val="32"/>
          <w:highlight w:val="none"/>
          <w:u w:val="none"/>
          <w:lang w:eastAsia="zh-CN"/>
        </w:rPr>
        <w:t>。</w:t>
      </w:r>
      <w:r>
        <w:rPr>
          <w:rFonts w:hint="eastAsia" w:ascii="仿宋_GB2312" w:hAnsi="仿宋_GB2312" w:eastAsia="仿宋_GB2312" w:cs="仿宋_GB2312"/>
          <w:color w:val="auto"/>
          <w:sz w:val="32"/>
          <w:highlight w:val="none"/>
          <w:u w:val="none"/>
        </w:rPr>
        <w:t>全面谋划、科学编制茂名市医疗保障事业发展</w:t>
      </w:r>
      <w:r>
        <w:rPr>
          <w:rFonts w:hint="eastAsia" w:ascii="仿宋_GB2312" w:hAnsi="仿宋_GB2312" w:eastAsia="仿宋_GB2312" w:cs="仿宋_GB2312"/>
          <w:color w:val="auto"/>
          <w:sz w:val="32"/>
          <w:highlight w:val="none"/>
          <w:u w:val="none"/>
          <w:lang w:eastAsia="zh-CN"/>
        </w:rPr>
        <w:t>“</w:t>
      </w:r>
      <w:r>
        <w:rPr>
          <w:rFonts w:hint="eastAsia" w:ascii="仿宋_GB2312" w:hAnsi="仿宋_GB2312" w:eastAsia="仿宋_GB2312" w:cs="仿宋_GB2312"/>
          <w:color w:val="auto"/>
          <w:sz w:val="32"/>
          <w:highlight w:val="none"/>
          <w:u w:val="none"/>
        </w:rPr>
        <w:t>十四五</w:t>
      </w:r>
      <w:r>
        <w:rPr>
          <w:rFonts w:hint="eastAsia" w:ascii="仿宋_GB2312" w:hAnsi="仿宋_GB2312" w:eastAsia="仿宋_GB2312" w:cs="仿宋_GB2312"/>
          <w:color w:val="auto"/>
          <w:sz w:val="32"/>
          <w:highlight w:val="none"/>
          <w:u w:val="none"/>
          <w:lang w:eastAsia="zh-CN"/>
        </w:rPr>
        <w:t>”</w:t>
      </w:r>
      <w:r>
        <w:rPr>
          <w:rFonts w:hint="eastAsia" w:ascii="仿宋_GB2312" w:hAnsi="仿宋_GB2312" w:eastAsia="仿宋_GB2312" w:cs="仿宋_GB2312"/>
          <w:color w:val="auto"/>
          <w:sz w:val="32"/>
          <w:highlight w:val="none"/>
          <w:u w:val="none"/>
        </w:rPr>
        <w:t>规划，对于引领我市医疗保障事业发展，</w:t>
      </w:r>
      <w:r>
        <w:rPr>
          <w:rFonts w:hint="eastAsia" w:ascii="仿宋_GB2312" w:hAnsi="仿宋_GB2312" w:eastAsia="仿宋_GB2312" w:cs="仿宋_GB2312"/>
          <w:color w:val="auto"/>
          <w:sz w:val="32"/>
          <w:szCs w:val="22"/>
          <w:highlight w:val="none"/>
          <w:u w:val="none"/>
        </w:rPr>
        <w:t>服务我市建设产业实力雄厚的现代化滨海城市、打造沿海经济带上的新增长极具有重大意义。</w:t>
      </w:r>
    </w:p>
    <w:p>
      <w:pPr>
        <w:pStyle w:val="2"/>
        <w:spacing w:after="0" w:afterLines="0" w:line="600" w:lineRule="exact"/>
        <w:rPr>
          <w:rFonts w:hint="eastAsia" w:ascii="仿宋_GB2312" w:hAnsi="仿宋_GB2312" w:eastAsia="仿宋_GB2312" w:cs="仿宋_GB2312"/>
          <w:color w:val="auto"/>
          <w:sz w:val="32"/>
          <w:szCs w:val="22"/>
          <w:highlight w:val="none"/>
          <w:u w:val="none"/>
        </w:rPr>
      </w:pPr>
    </w:p>
    <w:p>
      <w:pPr>
        <w:spacing w:line="600" w:lineRule="exact"/>
        <w:rPr>
          <w:rFonts w:hint="eastAsia" w:ascii="仿宋_GB2312" w:hAnsi="仿宋_GB2312" w:eastAsia="仿宋_GB2312" w:cs="仿宋_GB2312"/>
          <w:color w:val="auto"/>
          <w:sz w:val="32"/>
          <w:szCs w:val="22"/>
          <w:highlight w:val="none"/>
          <w:u w:val="none"/>
        </w:rPr>
      </w:pPr>
    </w:p>
    <w:p>
      <w:pPr>
        <w:pStyle w:val="2"/>
        <w:spacing w:after="0" w:afterLines="0" w:line="600" w:lineRule="exact"/>
        <w:rPr>
          <w:rFonts w:hint="eastAsia" w:ascii="仿宋_GB2312" w:hAnsi="仿宋_GB2312" w:eastAsia="仿宋_GB2312" w:cs="仿宋_GB2312"/>
          <w:color w:val="auto"/>
          <w:sz w:val="32"/>
          <w:szCs w:val="22"/>
          <w:highlight w:val="none"/>
          <w:u w:val="none"/>
        </w:rPr>
      </w:pPr>
    </w:p>
    <w:p>
      <w:pPr>
        <w:pStyle w:val="3"/>
        <w:numPr>
          <w:ilvl w:val="0"/>
          <w:numId w:val="1"/>
        </w:numPr>
        <w:spacing w:before="0" w:beforeLines="0" w:after="0" w:afterLines="0" w:line="600" w:lineRule="exact"/>
        <w:jc w:val="center"/>
        <w:outlineLvl w:val="0"/>
        <w:rPr>
          <w:rFonts w:hint="default" w:ascii="Times New Roman" w:hAnsi="Times New Roman" w:eastAsia="方正小标宋简体" w:cs="Times New Roman"/>
          <w:b w:val="0"/>
          <w:color w:val="auto"/>
          <w:sz w:val="36"/>
          <w:szCs w:val="36"/>
          <w:highlight w:val="none"/>
          <w:u w:val="none"/>
        </w:rPr>
      </w:pPr>
      <w:r>
        <w:rPr>
          <w:rFonts w:hint="default" w:ascii="Times New Roman" w:hAnsi="Times New Roman" w:eastAsia="仿宋" w:cs="Times New Roman"/>
          <w:color w:val="auto"/>
          <w:sz w:val="32"/>
          <w:szCs w:val="22"/>
          <w:highlight w:val="none"/>
          <w:u w:val="none"/>
        </w:rPr>
        <w:br w:type="page"/>
      </w:r>
      <w:r>
        <w:rPr>
          <w:rStyle w:val="15"/>
          <w:rFonts w:hint="default" w:ascii="Times New Roman" w:hAnsi="Times New Roman" w:eastAsia="方正小标宋简体" w:cs="Times New Roman"/>
          <w:b w:val="0"/>
          <w:color w:val="auto"/>
          <w:sz w:val="36"/>
          <w:szCs w:val="36"/>
          <w:highlight w:val="none"/>
          <w:u w:val="none"/>
        </w:rPr>
        <w:t xml:space="preserve">  发展基础和面临的形势</w:t>
      </w:r>
    </w:p>
    <w:p>
      <w:pPr>
        <w:pStyle w:val="4"/>
        <w:spacing w:before="0" w:beforeLines="0" w:after="0" w:afterLines="0" w:line="600" w:lineRule="exact"/>
        <w:jc w:val="center"/>
        <w:outlineLvl w:val="1"/>
        <w:rPr>
          <w:rFonts w:hint="default" w:ascii="Times New Roman" w:hAnsi="Times New Roman" w:eastAsia="黑体" w:cs="Times New Roman"/>
          <w:b w:val="0"/>
          <w:bCs w:val="0"/>
          <w:color w:val="auto"/>
          <w:sz w:val="32"/>
          <w:szCs w:val="32"/>
          <w:highlight w:val="none"/>
          <w:u w:val="none"/>
        </w:rPr>
      </w:pPr>
    </w:p>
    <w:p>
      <w:pPr>
        <w:pStyle w:val="4"/>
        <w:spacing w:before="0" w:beforeLines="0" w:after="0" w:afterLines="0" w:line="600" w:lineRule="exact"/>
        <w:jc w:val="center"/>
        <w:outlineLvl w:val="1"/>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第一节  发展基础</w:t>
      </w:r>
    </w:p>
    <w:p>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十三五</w:t>
      </w:r>
      <w:r>
        <w:rPr>
          <w:rFonts w:hint="eastAsia" w:ascii="Times New Roman" w:hAnsi="Times New Roman"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期间，茂名市医疗保障系统以习近平新时代中国特色社会主义思想为指引，以党的十八大、十九大及中央全会重大决定和精神为指导，推进医疗保障关键领域和关键环节的一系列改革，走出了一条适合茂名实际情况的医保发展之路。五年间，特别是成立医疗保障局以来，茂名市医疗保障事业实现了快速发展，在多方面取得显著成效，为</w:t>
      </w:r>
      <w:r>
        <w:rPr>
          <w:rFonts w:hint="eastAsia" w:ascii="Times New Roman" w:hAnsi="Times New Roman"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十四五</w:t>
      </w:r>
      <w:r>
        <w:rPr>
          <w:rFonts w:hint="eastAsia" w:ascii="Times New Roman" w:hAnsi="Times New Roman"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期间医疗保障制度的高质量发展奠定了坚实的基础。</w:t>
      </w:r>
    </w:p>
    <w:p>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楷体_GB2312" w:hAnsi="楷体_GB2312" w:eastAsia="楷体_GB2312" w:cs="楷体_GB2312"/>
          <w:b w:val="0"/>
          <w:bCs/>
          <w:color w:val="auto"/>
          <w:sz w:val="32"/>
          <w:szCs w:val="32"/>
          <w:highlight w:val="none"/>
          <w:u w:val="none"/>
        </w:rPr>
        <w:t>医疗保障管理体制从部门分割走向集中统一。</w:t>
      </w:r>
      <w:r>
        <w:rPr>
          <w:rFonts w:hint="eastAsia" w:ascii="仿宋_GB2312" w:hAnsi="仿宋_GB2312" w:eastAsia="仿宋_GB2312" w:cs="仿宋_GB2312"/>
          <w:color w:val="auto"/>
          <w:sz w:val="32"/>
          <w:szCs w:val="32"/>
          <w:highlight w:val="none"/>
          <w:u w:val="none"/>
        </w:rPr>
        <w:t>2019年1月24日，茂名市医疗保障局正式挂牌，将分散在人力资源</w:t>
      </w:r>
      <w:r>
        <w:rPr>
          <w:rFonts w:hint="eastAsia" w:ascii="仿宋_GB2312" w:hAnsi="仿宋_GB2312" w:eastAsia="仿宋_GB2312" w:cs="仿宋_GB2312"/>
          <w:color w:val="auto"/>
          <w:sz w:val="32"/>
          <w:szCs w:val="32"/>
          <w:highlight w:val="none"/>
          <w:u w:val="none"/>
          <w:lang w:eastAsia="zh-CN"/>
        </w:rPr>
        <w:t>和</w:t>
      </w:r>
      <w:r>
        <w:rPr>
          <w:rFonts w:hint="eastAsia" w:ascii="仿宋_GB2312" w:hAnsi="仿宋_GB2312" w:eastAsia="仿宋_GB2312" w:cs="仿宋_GB2312"/>
          <w:color w:val="auto"/>
          <w:sz w:val="32"/>
          <w:szCs w:val="32"/>
          <w:highlight w:val="none"/>
          <w:u w:val="none"/>
        </w:rPr>
        <w:t>社会保障、卫</w:t>
      </w:r>
      <w:r>
        <w:rPr>
          <w:rFonts w:hint="eastAsia" w:ascii="仿宋_GB2312" w:hAnsi="仿宋_GB2312" w:eastAsia="仿宋_GB2312" w:cs="仿宋_GB2312"/>
          <w:color w:val="auto"/>
          <w:sz w:val="32"/>
          <w:szCs w:val="32"/>
          <w:highlight w:val="none"/>
          <w:u w:val="none"/>
          <w:lang w:eastAsia="zh-CN"/>
        </w:rPr>
        <w:t>生健康</w:t>
      </w:r>
      <w:r>
        <w:rPr>
          <w:rFonts w:hint="eastAsia" w:ascii="仿宋_GB2312" w:hAnsi="仿宋_GB2312" w:eastAsia="仿宋_GB2312" w:cs="仿宋_GB2312"/>
          <w:color w:val="auto"/>
          <w:sz w:val="32"/>
          <w:szCs w:val="32"/>
          <w:highlight w:val="none"/>
          <w:u w:val="none"/>
        </w:rPr>
        <w:t>、民政、发</w:t>
      </w:r>
      <w:r>
        <w:rPr>
          <w:rFonts w:hint="eastAsia" w:ascii="仿宋_GB2312" w:hAnsi="仿宋_GB2312" w:eastAsia="仿宋_GB2312" w:cs="仿宋_GB2312"/>
          <w:color w:val="auto"/>
          <w:sz w:val="32"/>
          <w:szCs w:val="32"/>
          <w:highlight w:val="none"/>
          <w:u w:val="none"/>
          <w:lang w:eastAsia="zh-CN"/>
        </w:rPr>
        <w:t>展</w:t>
      </w:r>
      <w:r>
        <w:rPr>
          <w:rFonts w:hint="eastAsia" w:ascii="仿宋_GB2312" w:hAnsi="仿宋_GB2312" w:eastAsia="仿宋_GB2312" w:cs="仿宋_GB2312"/>
          <w:color w:val="auto"/>
          <w:sz w:val="32"/>
          <w:szCs w:val="32"/>
          <w:highlight w:val="none"/>
          <w:u w:val="none"/>
        </w:rPr>
        <w:t>改</w:t>
      </w:r>
      <w:r>
        <w:rPr>
          <w:rFonts w:hint="eastAsia" w:ascii="仿宋_GB2312" w:hAnsi="仿宋_GB2312" w:eastAsia="仿宋_GB2312" w:cs="仿宋_GB2312"/>
          <w:color w:val="auto"/>
          <w:sz w:val="32"/>
          <w:szCs w:val="32"/>
          <w:highlight w:val="none"/>
          <w:u w:val="none"/>
          <w:lang w:eastAsia="zh-CN"/>
        </w:rPr>
        <w:t>革</w:t>
      </w:r>
      <w:r>
        <w:rPr>
          <w:rFonts w:hint="eastAsia" w:ascii="仿宋_GB2312" w:hAnsi="仿宋_GB2312" w:eastAsia="仿宋_GB2312" w:cs="仿宋_GB2312"/>
          <w:color w:val="auto"/>
          <w:sz w:val="32"/>
          <w:szCs w:val="32"/>
          <w:highlight w:val="none"/>
          <w:u w:val="none"/>
        </w:rPr>
        <w:t>等部门的医疗保障相关管理职能整合到新成立的医疗保障局，实现了管理体制的优化，为深化</w:t>
      </w:r>
      <w:r>
        <w:rPr>
          <w:rFonts w:hint="default" w:ascii="Times New Roman" w:hAnsi="Times New Roman" w:eastAsia="仿宋_GB2312" w:cs="Times New Roman"/>
          <w:color w:val="auto"/>
          <w:sz w:val="32"/>
          <w:szCs w:val="32"/>
          <w:highlight w:val="none"/>
          <w:u w:val="none"/>
        </w:rPr>
        <w:t>医疗保障制度改革、提高医保管理服务效率、推动</w:t>
      </w:r>
      <w:r>
        <w:rPr>
          <w:rFonts w:hint="eastAsia" w:ascii="Times New Roman" w:hAnsi="Times New Roman"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三医</w:t>
      </w:r>
      <w:r>
        <w:rPr>
          <w:rFonts w:hint="eastAsia" w:ascii="Times New Roman" w:hAnsi="Times New Roman"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联动改革提供了有力的组织保障。</w:t>
      </w:r>
    </w:p>
    <w:p>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color w:val="auto"/>
          <w:sz w:val="32"/>
          <w:szCs w:val="32"/>
          <w:highlight w:val="none"/>
          <w:u w:val="none"/>
        </w:rPr>
        <w:t>多层次医疗保障制度趋于健全。</w:t>
      </w:r>
      <w:r>
        <w:rPr>
          <w:rFonts w:hint="default" w:ascii="Times New Roman" w:hAnsi="Times New Roman" w:eastAsia="仿宋_GB2312" w:cs="Times New Roman"/>
          <w:color w:val="auto"/>
          <w:sz w:val="32"/>
          <w:szCs w:val="32"/>
          <w:highlight w:val="none"/>
          <w:u w:val="none"/>
        </w:rPr>
        <w:t>茂名市建立了以基本医疗保险为主体，医疗救助为托底，大病保险、补充医疗保险、商业健康保险、医疗互助共同发展</w:t>
      </w:r>
      <w:r>
        <w:rPr>
          <w:rFonts w:hint="eastAsia" w:ascii="仿宋_GB2312" w:hAnsi="仿宋_GB2312" w:eastAsia="仿宋_GB2312" w:cs="仿宋_GB2312"/>
          <w:color w:val="auto"/>
          <w:sz w:val="32"/>
          <w:szCs w:val="32"/>
          <w:highlight w:val="none"/>
          <w:u w:val="none"/>
        </w:rPr>
        <w:t>的多层次医疗保障制度体系，为满足群众多元化的医疗保障需求提供了制度框架。</w:t>
      </w:r>
      <w:r>
        <w:rPr>
          <w:rFonts w:hint="eastAsia" w:ascii="仿宋_GB2312" w:hAnsi="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十三五</w:t>
      </w:r>
      <w:r>
        <w:rPr>
          <w:rFonts w:hint="eastAsia" w:ascii="仿宋_GB2312" w:hAnsi="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期间，茂名市巩固深化了全民参保计划成果，截</w:t>
      </w:r>
      <w:r>
        <w:rPr>
          <w:rFonts w:hint="eastAsia" w:ascii="仿宋_GB2312" w:hAnsi="仿宋_GB2312" w:eastAsia="仿宋_GB2312" w:cs="仿宋_GB2312"/>
          <w:color w:val="auto"/>
          <w:sz w:val="32"/>
          <w:szCs w:val="32"/>
          <w:highlight w:val="none"/>
          <w:u w:val="none"/>
          <w:lang w:eastAsia="zh-CN"/>
        </w:rPr>
        <w:t>至</w:t>
      </w:r>
      <w:r>
        <w:rPr>
          <w:rFonts w:hint="eastAsia" w:ascii="仿宋_GB2312" w:hAnsi="仿宋_GB2312" w:eastAsia="仿宋_GB2312" w:cs="仿宋_GB2312"/>
          <w:color w:val="auto"/>
          <w:sz w:val="32"/>
          <w:szCs w:val="32"/>
          <w:highlight w:val="none"/>
          <w:u w:val="none"/>
        </w:rPr>
        <w:t>2020年12月底，全市基本医疗保险参保人数666.6</w:t>
      </w: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rPr>
        <w:t>万人，其中城乡居民</w:t>
      </w:r>
      <w:r>
        <w:rPr>
          <w:rFonts w:hint="eastAsia" w:ascii="仿宋_GB2312" w:hAnsi="仿宋_GB2312" w:eastAsia="仿宋_GB2312" w:cs="仿宋_GB2312"/>
          <w:color w:val="auto"/>
          <w:sz w:val="32"/>
          <w:szCs w:val="32"/>
          <w:highlight w:val="none"/>
          <w:u w:val="none"/>
          <w:lang w:eastAsia="zh-CN"/>
        </w:rPr>
        <w:t>医保</w:t>
      </w:r>
      <w:r>
        <w:rPr>
          <w:rFonts w:hint="eastAsia" w:ascii="仿宋_GB2312" w:hAnsi="仿宋_GB2312" w:eastAsia="仿宋_GB2312" w:cs="仿宋_GB2312"/>
          <w:color w:val="auto"/>
          <w:sz w:val="32"/>
          <w:szCs w:val="32"/>
          <w:highlight w:val="none"/>
          <w:u w:val="none"/>
        </w:rPr>
        <w:t>参保人数611.56万人，</w:t>
      </w:r>
      <w:r>
        <w:rPr>
          <w:rFonts w:hint="default" w:ascii="Times New Roman" w:hAnsi="Times New Roman" w:eastAsia="仿宋_GB2312" w:cs="Times New Roman"/>
          <w:color w:val="auto"/>
          <w:sz w:val="32"/>
          <w:szCs w:val="32"/>
          <w:highlight w:val="none"/>
          <w:u w:val="none"/>
        </w:rPr>
        <w:t>城镇</w:t>
      </w:r>
      <w:r>
        <w:rPr>
          <w:rFonts w:hint="eastAsia" w:ascii="仿宋_GB2312" w:hAnsi="仿宋_GB2312" w:eastAsia="仿宋_GB2312" w:cs="仿宋_GB2312"/>
          <w:color w:val="auto"/>
          <w:sz w:val="32"/>
          <w:szCs w:val="32"/>
          <w:highlight w:val="none"/>
          <w:u w:val="none"/>
        </w:rPr>
        <w:t>职工医保参保人数55.07万人，另有生育保险参保人数38.28万人，参保率稳定在98%以上，基本实现了</w:t>
      </w:r>
      <w:r>
        <w:rPr>
          <w:rFonts w:hint="eastAsia" w:ascii="仿宋_GB2312" w:hAnsi="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人人享有基本医疗保障</w:t>
      </w:r>
      <w:r>
        <w:rPr>
          <w:rFonts w:hint="eastAsia" w:ascii="仿宋_GB2312" w:hAnsi="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的目标。</w:t>
      </w:r>
    </w:p>
    <w:p>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楷体_GB2312" w:hAnsi="楷体_GB2312" w:eastAsia="楷体_GB2312" w:cs="楷体_GB2312"/>
          <w:b w:val="0"/>
          <w:bCs/>
          <w:color w:val="auto"/>
          <w:sz w:val="32"/>
          <w:szCs w:val="32"/>
          <w:highlight w:val="none"/>
          <w:u w:val="none"/>
        </w:rPr>
        <w:t>医疗保障待遇水平持续提升。</w:t>
      </w:r>
      <w:r>
        <w:rPr>
          <w:rFonts w:hint="default" w:ascii="Times New Roman" w:hAnsi="Times New Roman" w:eastAsia="仿宋_GB2312" w:cs="Times New Roman"/>
          <w:b/>
          <w:color w:val="auto"/>
          <w:sz w:val="32"/>
          <w:szCs w:val="32"/>
          <w:highlight w:val="none"/>
          <w:u w:val="none"/>
          <w:lang w:eastAsia="zh-CN"/>
        </w:rPr>
        <w:t>一是</w:t>
      </w:r>
      <w:r>
        <w:rPr>
          <w:rFonts w:hint="default" w:ascii="Times New Roman" w:hAnsi="Times New Roman" w:eastAsia="仿宋_GB2312" w:cs="Times New Roman"/>
          <w:color w:val="auto"/>
          <w:sz w:val="32"/>
          <w:szCs w:val="32"/>
          <w:highlight w:val="none"/>
          <w:u w:val="none"/>
        </w:rPr>
        <w:t>全面实施城镇职工补充医疗保险，年度累计个人负担超</w:t>
      </w:r>
      <w:r>
        <w:rPr>
          <w:rFonts w:hint="eastAsia" w:ascii="仿宋_GB2312" w:hAnsi="仿宋_GB2312" w:eastAsia="仿宋_GB2312" w:cs="仿宋_GB2312"/>
          <w:color w:val="auto"/>
          <w:sz w:val="32"/>
          <w:szCs w:val="32"/>
          <w:highlight w:val="none"/>
          <w:u w:val="none"/>
        </w:rPr>
        <w:t>过1万元进入职工二次报销。</w:t>
      </w:r>
      <w:r>
        <w:rPr>
          <w:rFonts w:hint="eastAsia" w:ascii="仿宋_GB2312" w:hAnsi="仿宋_GB2312" w:eastAsia="仿宋_GB2312" w:cs="仿宋_GB2312"/>
          <w:b/>
          <w:color w:val="auto"/>
          <w:sz w:val="32"/>
          <w:szCs w:val="32"/>
          <w:highlight w:val="none"/>
          <w:u w:val="none"/>
          <w:lang w:eastAsia="zh-CN"/>
        </w:rPr>
        <w:t>二是</w:t>
      </w:r>
      <w:r>
        <w:rPr>
          <w:rFonts w:hint="eastAsia" w:ascii="仿宋_GB2312" w:hAnsi="仿宋_GB2312" w:eastAsia="仿宋_GB2312" w:cs="仿宋_GB2312"/>
          <w:color w:val="auto"/>
          <w:sz w:val="32"/>
          <w:szCs w:val="32"/>
          <w:highlight w:val="none"/>
          <w:u w:val="none"/>
        </w:rPr>
        <w:t>全面实施医疗救助兜底保障制度，符合条件的医疗救助对象可享受门诊医疗救助、住院医疗救助和二次救助。2019年7月1日</w:t>
      </w:r>
      <w:r>
        <w:rPr>
          <w:rFonts w:hint="eastAsia" w:ascii="仿宋_GB2312" w:hAnsi="仿宋_GB2312" w:eastAsia="仿宋_GB2312" w:cs="仿宋_GB2312"/>
          <w:color w:val="auto"/>
          <w:sz w:val="32"/>
          <w:szCs w:val="32"/>
          <w:highlight w:val="none"/>
          <w:u w:val="none"/>
          <w:lang w:eastAsia="zh-CN"/>
        </w:rPr>
        <w:t>起</w:t>
      </w:r>
      <w:r>
        <w:rPr>
          <w:rFonts w:hint="eastAsia" w:ascii="仿宋_GB2312" w:hAnsi="仿宋_GB2312" w:eastAsia="仿宋_GB2312" w:cs="仿宋_GB2312"/>
          <w:color w:val="auto"/>
          <w:sz w:val="32"/>
          <w:szCs w:val="32"/>
          <w:highlight w:val="none"/>
          <w:u w:val="none"/>
        </w:rPr>
        <w:t>实现了</w:t>
      </w:r>
      <w:r>
        <w:rPr>
          <w:rFonts w:hint="eastAsia" w:ascii="仿宋_GB2312" w:hAnsi="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一站式</w:t>
      </w:r>
      <w:r>
        <w:rPr>
          <w:rFonts w:hint="eastAsia" w:ascii="仿宋_GB2312" w:hAnsi="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结算服务，困难人群的医疗救助待遇全面落实。</w:t>
      </w:r>
      <w:r>
        <w:rPr>
          <w:rFonts w:hint="eastAsia" w:ascii="仿宋_GB2312" w:hAnsi="仿宋_GB2312" w:eastAsia="仿宋_GB2312" w:cs="仿宋_GB2312"/>
          <w:b/>
          <w:color w:val="auto"/>
          <w:sz w:val="32"/>
          <w:szCs w:val="32"/>
          <w:highlight w:val="none"/>
          <w:u w:val="none"/>
          <w:lang w:eastAsia="zh-CN"/>
        </w:rPr>
        <w:t>三</w:t>
      </w:r>
      <w:r>
        <w:rPr>
          <w:rFonts w:hint="default" w:ascii="Times New Roman" w:hAnsi="Times New Roman" w:eastAsia="仿宋_GB2312" w:cs="Times New Roman"/>
          <w:b/>
          <w:color w:val="auto"/>
          <w:sz w:val="32"/>
          <w:szCs w:val="32"/>
          <w:highlight w:val="none"/>
          <w:u w:val="none"/>
          <w:lang w:eastAsia="zh-CN"/>
        </w:rPr>
        <w:t>是</w:t>
      </w:r>
      <w:r>
        <w:rPr>
          <w:rFonts w:hint="default" w:ascii="Times New Roman" w:hAnsi="Times New Roman" w:eastAsia="仿宋_GB2312" w:cs="Times New Roman"/>
          <w:color w:val="auto"/>
          <w:sz w:val="32"/>
          <w:szCs w:val="32"/>
          <w:highlight w:val="none"/>
          <w:u w:val="none"/>
        </w:rPr>
        <w:t>职工和居民普通门诊、</w:t>
      </w:r>
      <w:r>
        <w:rPr>
          <w:rFonts w:hint="eastAsia" w:ascii="Times New Roman" w:hAnsi="Times New Roman" w:eastAsia="仿宋_GB2312" w:cs="Times New Roman"/>
          <w:color w:val="auto"/>
          <w:sz w:val="32"/>
          <w:szCs w:val="32"/>
          <w:highlight w:val="none"/>
          <w:u w:val="none"/>
          <w:lang w:eastAsia="zh-CN"/>
        </w:rPr>
        <w:t>门诊特定病种</w:t>
      </w:r>
      <w:r>
        <w:rPr>
          <w:rFonts w:hint="default" w:ascii="Times New Roman" w:hAnsi="Times New Roman" w:eastAsia="仿宋_GB2312" w:cs="Times New Roman"/>
          <w:color w:val="auto"/>
          <w:sz w:val="32"/>
          <w:szCs w:val="32"/>
          <w:highlight w:val="none"/>
          <w:u w:val="none"/>
        </w:rPr>
        <w:t>已纳入医保报销范围，且</w:t>
      </w:r>
      <w:r>
        <w:rPr>
          <w:rFonts w:hint="eastAsia" w:ascii="Times New Roman" w:hAnsi="Times New Roman" w:eastAsia="仿宋_GB2312" w:cs="Times New Roman"/>
          <w:color w:val="auto"/>
          <w:sz w:val="32"/>
          <w:szCs w:val="32"/>
          <w:highlight w:val="none"/>
          <w:u w:val="none"/>
          <w:lang w:eastAsia="zh-CN"/>
        </w:rPr>
        <w:t>门诊特定病种</w:t>
      </w:r>
      <w:r>
        <w:rPr>
          <w:rFonts w:hint="default" w:ascii="Times New Roman" w:hAnsi="Times New Roman" w:eastAsia="仿宋_GB2312" w:cs="Times New Roman"/>
          <w:color w:val="auto"/>
          <w:sz w:val="32"/>
          <w:szCs w:val="32"/>
          <w:highlight w:val="none"/>
          <w:u w:val="none"/>
        </w:rPr>
        <w:t>范围不断扩大。</w:t>
      </w:r>
    </w:p>
    <w:p>
      <w:pPr>
        <w:spacing w:line="600" w:lineRule="exact"/>
        <w:ind w:firstLine="640" w:firstLineChars="200"/>
        <w:rPr>
          <w:rFonts w:hint="eastAsia" w:ascii="仿宋_GB2312" w:hAnsi="仿宋_GB2312" w:eastAsia="仿宋_GB2312" w:cs="仿宋_GB2312"/>
          <w:b/>
          <w:bCs/>
          <w:i/>
          <w:iCs/>
          <w:color w:val="auto"/>
          <w:sz w:val="32"/>
          <w:szCs w:val="32"/>
          <w:highlight w:val="none"/>
          <w:u w:val="none"/>
        </w:rPr>
      </w:pPr>
      <w:r>
        <w:rPr>
          <w:rFonts w:hint="eastAsia" w:ascii="楷体_GB2312" w:hAnsi="楷体_GB2312" w:eastAsia="楷体_GB2312" w:cs="楷体_GB2312"/>
          <w:b w:val="0"/>
          <w:bCs/>
          <w:color w:val="auto"/>
          <w:sz w:val="32"/>
          <w:szCs w:val="32"/>
          <w:highlight w:val="none"/>
          <w:u w:val="none"/>
        </w:rPr>
        <w:t>医保基金运行平稳。</w:t>
      </w:r>
      <w:r>
        <w:rPr>
          <w:rFonts w:hint="eastAsia" w:ascii="Times New Roman" w:hAnsi="Times New Roman" w:cs="Times New Roman"/>
          <w:b w:val="0"/>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十三五</w:t>
      </w:r>
      <w:r>
        <w:rPr>
          <w:rFonts w:hint="eastAsia" w:ascii="Times New Roman" w:hAnsi="Times New Roman" w:cs="Times New Roman"/>
          <w:b w:val="0"/>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期间，医疗保障范围不断扩大，参保人员结构更加合理</w:t>
      </w:r>
      <w:r>
        <w:rPr>
          <w:rFonts w:hint="eastAsia" w:ascii="仿宋_GB2312" w:hAnsi="仿宋_GB2312" w:eastAsia="仿宋_GB2312" w:cs="仿宋_GB2312"/>
          <w:color w:val="auto"/>
          <w:sz w:val="32"/>
          <w:szCs w:val="32"/>
          <w:highlight w:val="none"/>
          <w:u w:val="none"/>
        </w:rPr>
        <w:t>，基金结余涨幅下降、但仍然较为充足，为政策调整提供了空间。截至2020年12月，累计基金结余达65.48亿元，2016-2020年，基金结余平均增长率为5.23%，年度基金结余符合收支平衡、略有结余的基金管理原则。2016-2020年，城镇职工医保基金</w:t>
      </w:r>
      <w:r>
        <w:rPr>
          <w:rFonts w:hint="eastAsia" w:ascii="仿宋_GB2312" w:hAnsi="仿宋_GB2312" w:eastAsia="仿宋_GB2312" w:cs="仿宋_GB2312"/>
          <w:color w:val="auto"/>
          <w:sz w:val="32"/>
          <w:szCs w:val="32"/>
          <w:highlight w:val="none"/>
          <w:u w:val="none"/>
          <w:lang w:eastAsia="zh-CN"/>
        </w:rPr>
        <w:t>年平均</w:t>
      </w:r>
      <w:r>
        <w:rPr>
          <w:rFonts w:hint="eastAsia" w:ascii="仿宋_GB2312" w:hAnsi="仿宋_GB2312" w:eastAsia="仿宋_GB2312" w:cs="仿宋_GB2312"/>
          <w:color w:val="auto"/>
          <w:sz w:val="32"/>
          <w:szCs w:val="32"/>
          <w:highlight w:val="none"/>
          <w:u w:val="none"/>
        </w:rPr>
        <w:t>使用率达</w:t>
      </w:r>
      <w:r>
        <w:rPr>
          <w:rFonts w:hint="eastAsia" w:ascii="仿宋_GB2312" w:hAnsi="仿宋_GB2312" w:eastAsia="仿宋_GB2312" w:cs="仿宋_GB2312"/>
          <w:color w:val="auto"/>
          <w:sz w:val="32"/>
          <w:szCs w:val="32"/>
          <w:highlight w:val="none"/>
          <w:u w:val="none"/>
          <w:lang w:val="en-US" w:eastAsia="zh-CN"/>
        </w:rPr>
        <w:t>98.6</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，城乡居民医保基金</w:t>
      </w:r>
      <w:r>
        <w:rPr>
          <w:rFonts w:hint="eastAsia" w:ascii="仿宋_GB2312" w:hAnsi="仿宋_GB2312" w:eastAsia="仿宋_GB2312" w:cs="仿宋_GB2312"/>
          <w:color w:val="auto"/>
          <w:sz w:val="32"/>
          <w:szCs w:val="32"/>
          <w:highlight w:val="none"/>
          <w:u w:val="none"/>
          <w:lang w:eastAsia="zh-CN"/>
        </w:rPr>
        <w:t>年平均</w:t>
      </w:r>
      <w:r>
        <w:rPr>
          <w:rFonts w:hint="eastAsia" w:ascii="仿宋_GB2312" w:hAnsi="仿宋_GB2312" w:eastAsia="仿宋_GB2312" w:cs="仿宋_GB2312"/>
          <w:color w:val="auto"/>
          <w:sz w:val="32"/>
          <w:szCs w:val="32"/>
          <w:highlight w:val="none"/>
          <w:u w:val="none"/>
        </w:rPr>
        <w:t>使用率为</w:t>
      </w:r>
      <w:r>
        <w:rPr>
          <w:rFonts w:hint="eastAsia" w:ascii="仿宋_GB2312" w:hAnsi="仿宋_GB2312" w:eastAsia="仿宋_GB2312" w:cs="仿宋_GB2312"/>
          <w:color w:val="auto"/>
          <w:sz w:val="32"/>
          <w:szCs w:val="32"/>
          <w:highlight w:val="none"/>
          <w:u w:val="none"/>
          <w:lang w:val="en-US" w:eastAsia="zh-CN"/>
        </w:rPr>
        <w:t>90.1%</w:t>
      </w:r>
      <w:r>
        <w:rPr>
          <w:rFonts w:hint="eastAsia" w:ascii="仿宋_GB2312" w:hAnsi="仿宋_GB2312" w:eastAsia="仿宋_GB2312" w:cs="仿宋_GB2312"/>
          <w:color w:val="auto"/>
          <w:sz w:val="32"/>
          <w:szCs w:val="32"/>
          <w:highlight w:val="none"/>
          <w:u w:val="none"/>
        </w:rPr>
        <w:t>，利用率较高。</w:t>
      </w:r>
    </w:p>
    <w:p>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color w:val="auto"/>
          <w:sz w:val="32"/>
          <w:szCs w:val="32"/>
          <w:highlight w:val="none"/>
          <w:u w:val="none"/>
        </w:rPr>
        <w:t>多元复合式医保支付体系基本建立。</w:t>
      </w:r>
      <w:r>
        <w:rPr>
          <w:rFonts w:hint="default" w:ascii="Times New Roman" w:hAnsi="Times New Roman" w:eastAsia="仿宋_GB2312" w:cs="Times New Roman"/>
          <w:color w:val="auto"/>
          <w:sz w:val="32"/>
          <w:szCs w:val="32"/>
          <w:highlight w:val="none"/>
          <w:u w:val="none"/>
        </w:rPr>
        <w:t>茂名市紧跟国家和广东省的改革部署，积极推进医保支付方式改革，建立起多元复合式医保支付制度体系，并大力</w:t>
      </w:r>
      <w:r>
        <w:rPr>
          <w:rFonts w:hint="eastAsia" w:ascii="仿宋_GB2312" w:hAnsi="仿宋_GB2312" w:eastAsia="仿宋_GB2312" w:cs="仿宋_GB2312"/>
          <w:color w:val="auto"/>
          <w:sz w:val="32"/>
          <w:szCs w:val="32"/>
          <w:highlight w:val="none"/>
          <w:u w:val="none"/>
        </w:rPr>
        <w:t>推行按病种分值付费方式，探索实施适合医联体发展的支付方式。自2018年全面开展按病种分值付费方式改革以来，基本医疗保险基金使用效</w:t>
      </w:r>
      <w:r>
        <w:rPr>
          <w:rFonts w:hint="default" w:ascii="Times New Roman" w:hAnsi="Times New Roman" w:eastAsia="仿宋_GB2312" w:cs="Times New Roman"/>
          <w:color w:val="auto"/>
          <w:sz w:val="32"/>
          <w:szCs w:val="32"/>
          <w:highlight w:val="none"/>
          <w:u w:val="none"/>
        </w:rPr>
        <w:t>率得到了较为明显的提高。截至</w:t>
      </w:r>
      <w:r>
        <w:rPr>
          <w:rFonts w:hint="eastAsia" w:ascii="仿宋_GB2312" w:hAnsi="仿宋_GB2312" w:eastAsia="仿宋_GB2312" w:cs="仿宋_GB2312"/>
          <w:color w:val="auto"/>
          <w:sz w:val="32"/>
          <w:szCs w:val="32"/>
          <w:highlight w:val="none"/>
          <w:u w:val="none"/>
        </w:rPr>
        <w:t>2020年，按病种分值付费的病种数已达5014个。</w:t>
      </w:r>
    </w:p>
    <w:p>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楷体_GB2312" w:hAnsi="楷体_GB2312" w:eastAsia="楷体_GB2312" w:cs="楷体_GB2312"/>
          <w:b w:val="0"/>
          <w:bCs/>
          <w:color w:val="auto"/>
          <w:sz w:val="32"/>
          <w:szCs w:val="32"/>
          <w:highlight w:val="none"/>
          <w:u w:val="none"/>
        </w:rPr>
        <w:t>基金监管工作取得显著成效。</w:t>
      </w:r>
      <w:r>
        <w:rPr>
          <w:rFonts w:hint="default" w:ascii="Times New Roman" w:hAnsi="Times New Roman" w:eastAsia="仿宋_GB2312" w:cs="Times New Roman"/>
          <w:b/>
          <w:color w:val="auto"/>
          <w:sz w:val="32"/>
          <w:szCs w:val="32"/>
          <w:highlight w:val="none"/>
          <w:u w:val="none"/>
          <w:lang w:eastAsia="zh-CN"/>
        </w:rPr>
        <w:t>一是</w:t>
      </w:r>
      <w:r>
        <w:rPr>
          <w:rFonts w:hint="default" w:ascii="Times New Roman" w:hAnsi="Times New Roman" w:eastAsia="仿宋_GB2312" w:cs="Times New Roman"/>
          <w:color w:val="auto"/>
          <w:sz w:val="32"/>
          <w:szCs w:val="32"/>
          <w:highlight w:val="none"/>
          <w:u w:val="none"/>
        </w:rPr>
        <w:t>加强定点医药机构管理。通过严格履行服务协议、加强行政监督等方面对定点医药机构的行为进行规范管理。</w:t>
      </w:r>
      <w:r>
        <w:rPr>
          <w:rFonts w:hint="default" w:ascii="Times New Roman" w:hAnsi="Times New Roman" w:eastAsia="仿宋_GB2312" w:cs="Times New Roman"/>
          <w:b/>
          <w:color w:val="auto"/>
          <w:sz w:val="32"/>
          <w:szCs w:val="32"/>
          <w:highlight w:val="none"/>
          <w:u w:val="none"/>
          <w:lang w:eastAsia="zh-CN"/>
        </w:rPr>
        <w:t>二是</w:t>
      </w:r>
      <w:r>
        <w:rPr>
          <w:rFonts w:hint="default" w:ascii="Times New Roman" w:hAnsi="Times New Roman" w:eastAsia="仿宋_GB2312" w:cs="Times New Roman"/>
          <w:color w:val="auto"/>
          <w:sz w:val="32"/>
          <w:szCs w:val="32"/>
          <w:highlight w:val="none"/>
          <w:u w:val="none"/>
        </w:rPr>
        <w:t>严格执行公立医疗机构基本医疗服务价格政策规定，加强医疗服务价格行为监管。</w:t>
      </w:r>
      <w:r>
        <w:rPr>
          <w:rFonts w:hint="default" w:ascii="Times New Roman" w:hAnsi="Times New Roman" w:eastAsia="仿宋_GB2312" w:cs="Times New Roman"/>
          <w:b/>
          <w:color w:val="auto"/>
          <w:sz w:val="32"/>
          <w:szCs w:val="32"/>
          <w:highlight w:val="none"/>
          <w:u w:val="none"/>
          <w:lang w:eastAsia="zh-CN"/>
        </w:rPr>
        <w:t>三是</w:t>
      </w:r>
      <w:r>
        <w:rPr>
          <w:rFonts w:hint="default" w:ascii="Times New Roman" w:hAnsi="Times New Roman" w:eastAsia="仿宋_GB2312" w:cs="Times New Roman"/>
          <w:color w:val="auto"/>
          <w:sz w:val="32"/>
          <w:szCs w:val="32"/>
          <w:highlight w:val="none"/>
          <w:u w:val="none"/>
        </w:rPr>
        <w:t>开展专项治理，大力打击</w:t>
      </w:r>
      <w:r>
        <w:rPr>
          <w:rFonts w:hint="default" w:ascii="Times New Roman" w:hAnsi="Times New Roman" w:eastAsia="仿宋_GB2312" w:cs="Times New Roman"/>
          <w:color w:val="auto"/>
          <w:sz w:val="32"/>
          <w:szCs w:val="32"/>
          <w:highlight w:val="none"/>
          <w:u w:val="none"/>
          <w:lang w:eastAsia="zh-CN"/>
        </w:rPr>
        <w:t>欺诈</w:t>
      </w:r>
      <w:r>
        <w:rPr>
          <w:rFonts w:hint="default" w:ascii="Times New Roman" w:hAnsi="Times New Roman" w:eastAsia="仿宋_GB2312" w:cs="Times New Roman"/>
          <w:color w:val="auto"/>
          <w:sz w:val="32"/>
          <w:szCs w:val="32"/>
          <w:highlight w:val="none"/>
          <w:u w:val="none"/>
        </w:rPr>
        <w:t>骗取医保基金行为，通过强化协议管理和日常巡查，强化对医疗机构的监督检查，医疗费用不合理增长得到有效控制。</w:t>
      </w:r>
    </w:p>
    <w:p>
      <w:pPr>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color w:val="auto"/>
          <w:sz w:val="32"/>
          <w:szCs w:val="32"/>
          <w:highlight w:val="none"/>
          <w:u w:val="none"/>
        </w:rPr>
        <w:t>标准化信息化建设稳步推进。</w:t>
      </w:r>
      <w:r>
        <w:rPr>
          <w:rFonts w:hint="eastAsia" w:ascii="仿宋_GB2312" w:hAnsi="仿宋_GB2312" w:eastAsia="仿宋_GB2312" w:cs="仿宋_GB2312"/>
          <w:color w:val="auto"/>
          <w:sz w:val="32"/>
          <w:szCs w:val="32"/>
          <w:highlight w:val="none"/>
          <w:u w:val="none"/>
        </w:rPr>
        <w:t>从2019年起，</w:t>
      </w:r>
      <w:r>
        <w:rPr>
          <w:rFonts w:hint="eastAsia" w:hAnsi="仿宋_GB2312" w:cs="仿宋_GB2312"/>
          <w:color w:val="auto"/>
          <w:sz w:val="32"/>
          <w:szCs w:val="32"/>
          <w:highlight w:val="none"/>
          <w:u w:val="none"/>
          <w:lang w:eastAsia="zh-CN"/>
        </w:rPr>
        <w:t>茂名市</w:t>
      </w:r>
      <w:r>
        <w:rPr>
          <w:rFonts w:hint="eastAsia" w:ascii="仿宋_GB2312" w:hAnsi="仿宋_GB2312" w:eastAsia="仿宋_GB2312" w:cs="仿宋_GB2312"/>
          <w:color w:val="auto"/>
          <w:sz w:val="32"/>
          <w:szCs w:val="32"/>
          <w:highlight w:val="none"/>
          <w:u w:val="none"/>
        </w:rPr>
        <w:t>全力推进医疗保障标准化和信息化建设，全市范围内完成医保疾病诊断和手术操作、三目、医保医师、药师等15项医疗保障信息业务标准编码贯标工作，建立全市统一的15项医疗保障编码标准化体系。积极组织部署上线</w:t>
      </w:r>
      <w:r>
        <w:rPr>
          <w:rFonts w:hint="eastAsia" w:ascii="仿宋_GB2312" w:hAnsi="仿宋_GB2312" w:eastAsia="仿宋_GB2312" w:cs="仿宋_GB2312"/>
          <w:color w:val="auto"/>
          <w:sz w:val="32"/>
          <w:szCs w:val="32"/>
          <w:highlight w:val="none"/>
          <w:u w:val="none"/>
          <w:lang w:eastAsia="zh-CN"/>
        </w:rPr>
        <w:t>国家和</w:t>
      </w:r>
      <w:r>
        <w:rPr>
          <w:rFonts w:hint="eastAsia" w:ascii="仿宋_GB2312" w:hAnsi="仿宋_GB2312" w:eastAsia="仿宋_GB2312" w:cs="仿宋_GB2312"/>
          <w:color w:val="auto"/>
          <w:sz w:val="32"/>
          <w:szCs w:val="32"/>
          <w:highlight w:val="none"/>
          <w:u w:val="none"/>
        </w:rPr>
        <w:t>省医疗保障</w:t>
      </w:r>
      <w:r>
        <w:rPr>
          <w:rFonts w:hint="eastAsia" w:ascii="仿宋_GB2312" w:hAnsi="仿宋_GB2312" w:eastAsia="仿宋_GB2312" w:cs="仿宋_GB2312"/>
          <w:color w:val="auto"/>
          <w:sz w:val="32"/>
          <w:szCs w:val="32"/>
          <w:highlight w:val="none"/>
          <w:u w:val="none"/>
          <w:lang w:eastAsia="zh-CN"/>
        </w:rPr>
        <w:t>信息</w:t>
      </w:r>
      <w:r>
        <w:rPr>
          <w:rFonts w:hint="eastAsia" w:ascii="仿宋_GB2312" w:hAnsi="仿宋_GB2312" w:eastAsia="仿宋_GB2312" w:cs="仿宋_GB2312"/>
          <w:color w:val="auto"/>
          <w:sz w:val="32"/>
          <w:szCs w:val="32"/>
          <w:highlight w:val="none"/>
          <w:u w:val="none"/>
        </w:rPr>
        <w:t>平台准备工作。全力推进医保电子凭证和移动支付建设和应用。率先打通医保就医线上支付渠道。</w:t>
      </w:r>
      <w:r>
        <w:rPr>
          <w:rFonts w:hint="eastAsia" w:hAnsi="仿宋_GB2312" w:cs="仿宋_GB2312"/>
          <w:color w:val="auto"/>
          <w:sz w:val="32"/>
          <w:szCs w:val="32"/>
          <w:highlight w:val="none"/>
          <w:u w:val="none"/>
          <w:lang w:eastAsia="zh-CN"/>
        </w:rPr>
        <w:t>茂名市</w:t>
      </w:r>
      <w:r>
        <w:rPr>
          <w:rFonts w:hint="eastAsia" w:ascii="仿宋_GB2312" w:hAnsi="仿宋_GB2312" w:eastAsia="仿宋_GB2312" w:cs="仿宋_GB2312"/>
          <w:color w:val="auto"/>
          <w:sz w:val="32"/>
          <w:szCs w:val="32"/>
          <w:highlight w:val="none"/>
          <w:u w:val="none"/>
        </w:rPr>
        <w:t>为全省开展医保电子凭证和移动支付首批8个试点地市之一，在</w:t>
      </w:r>
      <w:r>
        <w:rPr>
          <w:rFonts w:hint="eastAsia" w:ascii="仿宋_GB2312" w:hAnsi="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shd w:val="clear" w:color="auto" w:fill="auto"/>
        </w:rPr>
        <w:t>粤</w:t>
      </w:r>
      <w:r>
        <w:rPr>
          <w:rFonts w:hint="eastAsia" w:ascii="仿宋_GB2312" w:hAnsi="仿宋_GB2312" w:eastAsia="仿宋_GB2312" w:cs="仿宋_GB2312"/>
          <w:color w:val="auto"/>
          <w:sz w:val="32"/>
          <w:szCs w:val="32"/>
          <w:highlight w:val="none"/>
          <w:u w:val="none"/>
        </w:rPr>
        <w:t>省事</w:t>
      </w:r>
      <w:r>
        <w:rPr>
          <w:rFonts w:hint="eastAsia" w:ascii="仿宋_GB2312" w:hAnsi="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率先打通了医保就医线上支付渠道，实现了线上线下医保移动支付，医保服务进入</w:t>
      </w:r>
      <w:r>
        <w:rPr>
          <w:rFonts w:hint="eastAsia" w:ascii="仿宋_GB2312" w:hAnsi="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shd w:val="clear" w:color="auto" w:fill="auto"/>
        </w:rPr>
        <w:t>码</w:t>
      </w:r>
      <w:r>
        <w:rPr>
          <w:rFonts w:hint="eastAsia" w:ascii="仿宋_GB2312" w:hAnsi="仿宋_GB2312" w:eastAsia="仿宋_GB2312" w:cs="仿宋_GB2312"/>
          <w:color w:val="auto"/>
          <w:sz w:val="32"/>
          <w:szCs w:val="32"/>
          <w:highlight w:val="none"/>
          <w:u w:val="none"/>
        </w:rPr>
        <w:t>时代</w:t>
      </w:r>
      <w:r>
        <w:rPr>
          <w:rFonts w:hint="eastAsia" w:ascii="仿宋_GB2312" w:hAnsi="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w:t>
      </w:r>
    </w:p>
    <w:p>
      <w:pPr>
        <w:pStyle w:val="4"/>
        <w:spacing w:before="0" w:beforeLines="0" w:after="0" w:afterLines="0" w:line="600" w:lineRule="exact"/>
        <w:jc w:val="center"/>
        <w:outlineLvl w:val="1"/>
        <w:rPr>
          <w:rFonts w:hint="default" w:ascii="Times New Roman" w:hAnsi="Times New Roman" w:eastAsia="黑体" w:cs="Times New Roman"/>
          <w:b w:val="0"/>
          <w:bCs w:val="0"/>
          <w:color w:val="auto"/>
          <w:sz w:val="32"/>
          <w:szCs w:val="32"/>
          <w:highlight w:val="none"/>
          <w:u w:val="none"/>
        </w:rPr>
      </w:pPr>
    </w:p>
    <w:p>
      <w:pPr>
        <w:pStyle w:val="4"/>
        <w:spacing w:before="0" w:beforeLines="0" w:after="0" w:afterLines="0" w:line="600" w:lineRule="exact"/>
        <w:jc w:val="center"/>
        <w:outlineLvl w:val="1"/>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第二节 面临的形势</w:t>
      </w:r>
    </w:p>
    <w:p>
      <w:pPr>
        <w:widowControl w:val="0"/>
        <w:wordWrap/>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十四五</w:t>
      </w:r>
      <w:r>
        <w:rPr>
          <w:rFonts w:hint="eastAsia" w:ascii="Times New Roman" w:hAnsi="Times New Roman"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时期，茂名市医疗保障事业仍处于大有作为的重要战略机遇期，但也面临诸多矛盾叠加、风险隐患增多的严峻挑战。</w:t>
      </w:r>
    </w:p>
    <w:p>
      <w:pPr>
        <w:pStyle w:val="4"/>
        <w:widowControl w:val="0"/>
        <w:wordWrap/>
        <w:adjustRightInd/>
        <w:snapToGrid/>
        <w:spacing w:line="600" w:lineRule="exact"/>
        <w:ind w:firstLine="640" w:firstLineChars="200"/>
        <w:jc w:val="both"/>
        <w:textAlignment w:val="auto"/>
        <w:rPr>
          <w:rFonts w:hint="eastAsia" w:ascii="楷体_GB2312" w:hAnsi="楷体_GB2312" w:eastAsia="楷体_GB2312" w:cs="楷体_GB2312"/>
          <w:b w:val="0"/>
          <w:bCs/>
          <w:color w:val="auto"/>
          <w:sz w:val="32"/>
          <w:szCs w:val="32"/>
          <w:highlight w:val="none"/>
          <w:u w:val="none"/>
          <w:lang w:eastAsia="zh-CN"/>
        </w:rPr>
      </w:pPr>
      <w:r>
        <w:rPr>
          <w:rFonts w:hint="eastAsia" w:ascii="楷体_GB2312" w:hAnsi="楷体_GB2312" w:eastAsia="楷体_GB2312" w:cs="楷体_GB2312"/>
          <w:b w:val="0"/>
          <w:bCs/>
          <w:color w:val="auto"/>
          <w:sz w:val="32"/>
          <w:szCs w:val="32"/>
          <w:highlight w:val="none"/>
          <w:u w:val="none"/>
        </w:rPr>
        <w:t>（一）发展机遇</w:t>
      </w:r>
    </w:p>
    <w:p>
      <w:pPr>
        <w:widowControl w:val="0"/>
        <w:wordWrap/>
        <w:adjustRightInd/>
        <w:snapToGrid/>
        <w:spacing w:line="600" w:lineRule="exact"/>
        <w:ind w:firstLine="643"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sz w:val="32"/>
          <w:szCs w:val="32"/>
          <w:highlight w:val="none"/>
          <w:u w:val="none"/>
          <w:lang w:eastAsia="zh-CN"/>
        </w:rPr>
        <w:t>一是</w:t>
      </w:r>
      <w:r>
        <w:rPr>
          <w:rFonts w:hint="default" w:ascii="Times New Roman" w:hAnsi="Times New Roman" w:eastAsia="仿宋_GB2312" w:cs="Times New Roman"/>
          <w:b/>
          <w:bCs/>
          <w:color w:val="auto"/>
          <w:sz w:val="32"/>
          <w:szCs w:val="32"/>
          <w:highlight w:val="none"/>
          <w:u w:val="none"/>
        </w:rPr>
        <w:t>顶层设计为医疗保障事业发展指明了方向。</w:t>
      </w:r>
      <w:r>
        <w:rPr>
          <w:rFonts w:hint="eastAsia" w:ascii="仿宋_GB2312" w:hAnsi="仿宋_GB2312" w:eastAsia="仿宋_GB2312" w:cs="仿宋_GB2312"/>
          <w:color w:val="auto"/>
          <w:sz w:val="32"/>
          <w:szCs w:val="32"/>
          <w:highlight w:val="none"/>
          <w:u w:val="none"/>
        </w:rPr>
        <w:t>2016年10月25日，中共中央</w:t>
      </w:r>
      <w:r>
        <w:rPr>
          <w:rFonts w:hint="eastAsia" w:hAnsi="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国务院印发的《</w:t>
      </w:r>
      <w:r>
        <w:rPr>
          <w:rFonts w:hint="eastAsia" w:ascii="仿宋_GB2312" w:hAnsi="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健康中国2030</w:t>
      </w:r>
      <w:r>
        <w:rPr>
          <w:rFonts w:hint="eastAsia" w:ascii="仿宋_GB2312" w:hAnsi="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规划纲要》用单独一篇讲述健全医疗保障体系和药品供应保障，体现了国家对医疗保障事业的重视。十九大提出深化医药卫生体制改革，全面建立中国特色基本医疗卫生制度、医疗保障制度和优质高效的医疗卫生服务体系，健全现代医院管理制度。2020年</w:t>
      </w: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rPr>
        <w:t>月</w:t>
      </w:r>
      <w:r>
        <w:rPr>
          <w:rFonts w:hint="eastAsia" w:ascii="仿宋_GB2312" w:hAnsi="仿宋_GB2312" w:eastAsia="仿宋_GB2312" w:cs="仿宋_GB2312"/>
          <w:color w:val="auto"/>
          <w:sz w:val="32"/>
          <w:szCs w:val="32"/>
          <w:highlight w:val="none"/>
          <w:u w:val="none"/>
          <w:lang w:val="en-US" w:eastAsia="zh-CN"/>
        </w:rPr>
        <w:t>25</w:t>
      </w:r>
      <w:r>
        <w:rPr>
          <w:rFonts w:hint="eastAsia" w:ascii="仿宋_GB2312" w:hAnsi="仿宋_GB2312" w:eastAsia="仿宋_GB2312" w:cs="仿宋_GB2312"/>
          <w:color w:val="auto"/>
          <w:sz w:val="32"/>
          <w:szCs w:val="32"/>
          <w:highlight w:val="none"/>
          <w:u w:val="none"/>
        </w:rPr>
        <w:t>日，中共中央</w:t>
      </w:r>
      <w:r>
        <w:rPr>
          <w:rFonts w:hint="eastAsia" w:ascii="仿宋_GB2312" w:hAnsi="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国务院印发《关于深化医疗保障制度改革的意见》，为</w:t>
      </w:r>
      <w:r>
        <w:rPr>
          <w:rFonts w:hint="eastAsia" w:ascii="仿宋_GB2312" w:hAnsi="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十四五</w:t>
      </w:r>
      <w:r>
        <w:rPr>
          <w:rFonts w:hint="eastAsia" w:ascii="仿宋_GB2312" w:hAnsi="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期间医疗保障的改革与发展提供了新的政策导向。2020年</w:t>
      </w:r>
      <w:r>
        <w:rPr>
          <w:rFonts w:hint="eastAsia" w:ascii="仿宋_GB2312" w:hAnsi="仿宋_GB2312" w:eastAsia="仿宋_GB2312" w:cs="仿宋_GB2312"/>
          <w:color w:val="auto"/>
          <w:sz w:val="32"/>
          <w:szCs w:val="32"/>
          <w:highlight w:val="none"/>
          <w:u w:val="none"/>
          <w:lang w:val="en-US" w:eastAsia="zh-CN"/>
        </w:rPr>
        <w:t>6</w:t>
      </w:r>
      <w:r>
        <w:rPr>
          <w:rFonts w:hint="eastAsia" w:ascii="仿宋_GB2312" w:hAnsi="仿宋_GB2312" w:eastAsia="仿宋_GB2312" w:cs="仿宋_GB2312"/>
          <w:color w:val="auto"/>
          <w:sz w:val="32"/>
          <w:szCs w:val="32"/>
          <w:highlight w:val="none"/>
          <w:u w:val="none"/>
        </w:rPr>
        <w:t>月</w:t>
      </w:r>
      <w:r>
        <w:rPr>
          <w:rFonts w:hint="eastAsia" w:ascii="仿宋_GB2312" w:hAnsi="仿宋_GB2312" w:eastAsia="仿宋_GB2312" w:cs="仿宋_GB2312"/>
          <w:color w:val="auto"/>
          <w:sz w:val="32"/>
          <w:szCs w:val="32"/>
          <w:highlight w:val="none"/>
          <w:u w:val="none"/>
          <w:lang w:val="en-US" w:eastAsia="zh-CN"/>
        </w:rPr>
        <w:t>30</w:t>
      </w:r>
      <w:r>
        <w:rPr>
          <w:rFonts w:hint="eastAsia" w:ascii="仿宋_GB2312" w:hAnsi="仿宋_GB2312" w:eastAsia="仿宋_GB2312" w:cs="仿宋_GB2312"/>
          <w:color w:val="auto"/>
          <w:sz w:val="32"/>
          <w:szCs w:val="32"/>
          <w:highlight w:val="none"/>
          <w:u w:val="none"/>
        </w:rPr>
        <w:t>日，国务院办公厅发布的《关于推进医疗保障基金监管制度体系改革的指导意见》再次提出要全面提升医保治理能力，净化制度运行环境，严守基金安全红线，维护医保基金长效运行。2021年9月23日，国务院办公厅印发了《</w:t>
      </w:r>
      <w:r>
        <w:rPr>
          <w:rFonts w:hint="eastAsia" w:ascii="仿宋_GB2312" w:hAnsi="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十四五</w:t>
      </w:r>
      <w:r>
        <w:rPr>
          <w:rFonts w:hint="eastAsia" w:ascii="仿宋_GB2312" w:hAnsi="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全民医疗保障规划的通知》，立足新发展阶段，为</w:t>
      </w:r>
      <w:r>
        <w:rPr>
          <w:rFonts w:hint="eastAsia" w:ascii="仿宋_GB2312" w:hAnsi="仿宋_GB2312" w:cs="仿宋_GB2312"/>
          <w:color w:val="auto"/>
          <w:sz w:val="32"/>
          <w:szCs w:val="32"/>
          <w:highlight w:val="none"/>
          <w:u w:val="none"/>
          <w:lang w:eastAsia="zh-CN"/>
        </w:rPr>
        <w:t>“</w:t>
      </w:r>
      <w:r>
        <w:rPr>
          <w:rFonts w:hint="eastAsia" w:ascii="仿宋_GB2312" w:hAnsi="仿宋_GB2312" w:eastAsia="仿宋_GB2312" w:cs="仿宋_GB2312"/>
          <w:color w:val="auto"/>
          <w:kern w:val="2"/>
          <w:sz w:val="32"/>
          <w:szCs w:val="32"/>
          <w:highlight w:val="none"/>
          <w:u w:val="none"/>
          <w:lang w:val="en-US" w:eastAsia="zh-CN" w:bidi="ar-SA"/>
        </w:rPr>
        <w:t>十四五</w:t>
      </w:r>
      <w:r>
        <w:rPr>
          <w:rFonts w:hint="eastAsia" w:ascii="仿宋_GB2312" w:hAnsi="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医疗保障事业发展构建谋划新发展格局</w:t>
      </w:r>
      <w:r>
        <w:rPr>
          <w:rFonts w:hint="default" w:ascii="Times New Roman" w:hAnsi="Times New Roman" w:eastAsia="仿宋_GB2312" w:cs="Times New Roman"/>
          <w:color w:val="auto"/>
          <w:sz w:val="32"/>
          <w:szCs w:val="32"/>
          <w:highlight w:val="none"/>
          <w:u w:val="none"/>
        </w:rPr>
        <w:t>指明</w:t>
      </w:r>
      <w:r>
        <w:rPr>
          <w:rFonts w:hint="default" w:ascii="Times New Roman" w:hAnsi="Times New Roman" w:eastAsia="仿宋_GB2312" w:cs="Times New Roman"/>
          <w:color w:val="auto"/>
          <w:kern w:val="2"/>
          <w:sz w:val="32"/>
          <w:szCs w:val="32"/>
          <w:highlight w:val="none"/>
          <w:u w:val="none"/>
          <w:lang w:val="en-US" w:eastAsia="zh-CN" w:bidi="ar-SA"/>
        </w:rPr>
        <w:t>了</w:t>
      </w:r>
      <w:r>
        <w:rPr>
          <w:rFonts w:hint="default" w:ascii="Times New Roman" w:hAnsi="Times New Roman" w:eastAsia="仿宋_GB2312" w:cs="Times New Roman"/>
          <w:color w:val="auto"/>
          <w:sz w:val="32"/>
          <w:szCs w:val="32"/>
          <w:highlight w:val="none"/>
          <w:u w:val="none"/>
        </w:rPr>
        <w:t>方向。</w:t>
      </w:r>
    </w:p>
    <w:p>
      <w:pPr>
        <w:pStyle w:val="2"/>
        <w:widowControl w:val="0"/>
        <w:wordWrap/>
        <w:adjustRightInd/>
        <w:snapToGrid/>
        <w:spacing w:after="0" w:afterLines="0" w:line="600" w:lineRule="exact"/>
        <w:ind w:firstLine="64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color w:val="auto"/>
          <w:sz w:val="32"/>
          <w:szCs w:val="32"/>
          <w:highlight w:val="none"/>
          <w:u w:val="none"/>
          <w:lang w:eastAsia="zh-CN"/>
        </w:rPr>
        <w:t>二是</w:t>
      </w:r>
      <w:r>
        <w:rPr>
          <w:rFonts w:hint="default" w:ascii="Times New Roman" w:hAnsi="Times New Roman" w:eastAsia="仿宋_GB2312" w:cs="Times New Roman"/>
          <w:b/>
          <w:color w:val="auto"/>
          <w:sz w:val="32"/>
          <w:szCs w:val="32"/>
          <w:highlight w:val="none"/>
          <w:u w:val="none"/>
        </w:rPr>
        <w:t>互联网和数字健康技术快速发展</w:t>
      </w:r>
      <w:r>
        <w:rPr>
          <w:rFonts w:hint="default" w:ascii="Times New Roman" w:hAnsi="Times New Roman" w:eastAsia="仿宋_GB2312" w:cs="Times New Roman"/>
          <w:bCs/>
          <w:color w:val="auto"/>
          <w:sz w:val="32"/>
          <w:szCs w:val="32"/>
          <w:highlight w:val="none"/>
          <w:u w:val="none"/>
        </w:rPr>
        <w:t>。</w:t>
      </w:r>
      <w:r>
        <w:rPr>
          <w:rFonts w:hint="default" w:ascii="Times New Roman" w:hAnsi="Times New Roman" w:eastAsia="仿宋_GB2312" w:cs="Times New Roman"/>
          <w:color w:val="auto"/>
          <w:sz w:val="32"/>
          <w:szCs w:val="32"/>
          <w:highlight w:val="none"/>
          <w:u w:val="none"/>
        </w:rPr>
        <w:t>互联网和数字健康技术发展迅速，能够促进信息的集成与综合利用，促进</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信息多跑路、群众少跑</w:t>
      </w:r>
      <w:r>
        <w:rPr>
          <w:rFonts w:hint="default" w:ascii="Times New Roman" w:hAnsi="Times New Roman" w:eastAsia="仿宋_GB2312" w:cs="Times New Roman"/>
          <w:color w:val="auto"/>
          <w:sz w:val="32"/>
          <w:szCs w:val="32"/>
          <w:highlight w:val="none"/>
          <w:u w:val="none"/>
          <w:lang w:eastAsia="zh-CN"/>
        </w:rPr>
        <w:t>腿</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的实现。基于大数据开展医保实时监管和全过程全方位监管，可以促进医保监管从粗放式管理向精细化、标准化管理的转变，加快医保监管智能化发展进程。建设医疗</w:t>
      </w:r>
      <w:r>
        <w:rPr>
          <w:rFonts w:hint="default" w:ascii="Times New Roman" w:hAnsi="Times New Roman" w:eastAsia="仿宋_GB2312" w:cs="Times New Roman"/>
          <w:color w:val="auto"/>
          <w:sz w:val="32"/>
          <w:szCs w:val="32"/>
          <w:highlight w:val="none"/>
          <w:u w:val="none"/>
          <w:lang w:eastAsia="zh-CN"/>
        </w:rPr>
        <w:t>保障</w:t>
      </w:r>
      <w:r>
        <w:rPr>
          <w:rFonts w:hint="default" w:ascii="Times New Roman" w:hAnsi="Times New Roman" w:eastAsia="仿宋_GB2312" w:cs="Times New Roman"/>
          <w:color w:val="auto"/>
          <w:sz w:val="32"/>
          <w:szCs w:val="32"/>
          <w:highlight w:val="none"/>
          <w:u w:val="none"/>
        </w:rPr>
        <w:t>大数据标准体系，建立统一的数据目录体系，使用一致的信息化编码规则，构建有效的数据共享机制，可以搭建起一个各部门共同参与</w:t>
      </w:r>
      <w:r>
        <w:rPr>
          <w:rFonts w:hint="default" w:ascii="Times New Roman" w:hAnsi="Times New Roman" w:eastAsia="仿宋_GB2312" w:cs="Times New Roman"/>
          <w:color w:val="auto"/>
          <w:sz w:val="32"/>
          <w:szCs w:val="32"/>
          <w:highlight w:val="none"/>
          <w:u w:val="none"/>
          <w:lang w:eastAsia="zh-CN"/>
        </w:rPr>
        <w:t>医疗保障</w:t>
      </w:r>
      <w:r>
        <w:rPr>
          <w:rFonts w:hint="default" w:ascii="Times New Roman" w:hAnsi="Times New Roman" w:eastAsia="仿宋_GB2312" w:cs="Times New Roman"/>
          <w:color w:val="auto"/>
          <w:sz w:val="32"/>
          <w:szCs w:val="32"/>
          <w:highlight w:val="none"/>
          <w:u w:val="none"/>
        </w:rPr>
        <w:t>治理的平台，为医疗、医药、医保及相关社会主体提供数据和信息安全交换汇集的技术基础，从而使得多方实质性联动与协同成为可能。</w:t>
      </w:r>
    </w:p>
    <w:p>
      <w:pPr>
        <w:pStyle w:val="2"/>
        <w:widowControl w:val="0"/>
        <w:wordWrap/>
        <w:adjustRightInd/>
        <w:snapToGrid/>
        <w:spacing w:after="0" w:afterLines="0" w:line="600" w:lineRule="exact"/>
        <w:ind w:firstLine="64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sz w:val="32"/>
          <w:szCs w:val="32"/>
          <w:highlight w:val="none"/>
          <w:u w:val="none"/>
          <w:lang w:eastAsia="zh-CN"/>
        </w:rPr>
        <w:t>三是</w:t>
      </w:r>
      <w:r>
        <w:rPr>
          <w:rFonts w:hint="default" w:ascii="Times New Roman" w:hAnsi="Times New Roman" w:eastAsia="仿宋_GB2312" w:cs="Times New Roman"/>
          <w:b/>
          <w:bCs/>
          <w:color w:val="auto"/>
          <w:sz w:val="32"/>
          <w:szCs w:val="32"/>
          <w:highlight w:val="none"/>
          <w:u w:val="none"/>
        </w:rPr>
        <w:t>商业组织等市场与社会力量的发展越来越成熟。</w:t>
      </w:r>
      <w:r>
        <w:rPr>
          <w:rFonts w:hint="default" w:ascii="Times New Roman" w:hAnsi="Times New Roman" w:eastAsia="仿宋_GB2312" w:cs="Times New Roman"/>
          <w:color w:val="auto"/>
          <w:sz w:val="32"/>
          <w:szCs w:val="32"/>
          <w:highlight w:val="none"/>
          <w:u w:val="none"/>
        </w:rPr>
        <w:t>商业保险机构、互联网与大数据等数字健康企业及健康管理组织的参与使得市场机制在医保工作中得到有效发挥。商业健康险的发展不仅可以丰富健康保险产品供给，还可以扩大保险产品范围，优化医保产品供给</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也有助于医疗保障多层次体系的形成。</w:t>
      </w:r>
    </w:p>
    <w:p>
      <w:pPr>
        <w:pStyle w:val="4"/>
        <w:widowControl w:val="0"/>
        <w:wordWrap/>
        <w:adjustRightInd/>
        <w:snapToGrid/>
        <w:spacing w:line="600" w:lineRule="exact"/>
        <w:ind w:firstLine="640" w:firstLineChars="200"/>
        <w:jc w:val="both"/>
        <w:textAlignment w:val="auto"/>
        <w:rPr>
          <w:rFonts w:hint="eastAsia" w:ascii="楷体_GB2312" w:hAnsi="楷体_GB2312" w:eastAsia="楷体_GB2312" w:cs="楷体_GB2312"/>
          <w:b w:val="0"/>
          <w:bCs/>
          <w:color w:val="auto"/>
          <w:sz w:val="32"/>
          <w:szCs w:val="32"/>
          <w:highlight w:val="none"/>
          <w:u w:val="none"/>
          <w:lang w:eastAsia="zh-CN"/>
        </w:rPr>
      </w:pPr>
      <w:r>
        <w:rPr>
          <w:rFonts w:hint="eastAsia" w:ascii="楷体_GB2312" w:hAnsi="楷体_GB2312" w:eastAsia="楷体_GB2312" w:cs="楷体_GB2312"/>
          <w:b w:val="0"/>
          <w:bCs/>
          <w:color w:val="auto"/>
          <w:sz w:val="32"/>
          <w:szCs w:val="32"/>
          <w:highlight w:val="none"/>
          <w:u w:val="none"/>
        </w:rPr>
        <w:t>（二）面临的挑战</w:t>
      </w:r>
    </w:p>
    <w:p>
      <w:pPr>
        <w:widowControl w:val="0"/>
        <w:wordWrap/>
        <w:adjustRightInd/>
        <w:snapToGrid/>
        <w:spacing w:line="600" w:lineRule="exact"/>
        <w:ind w:firstLine="643"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color w:val="auto"/>
          <w:sz w:val="32"/>
          <w:szCs w:val="32"/>
          <w:highlight w:val="none"/>
          <w:u w:val="none"/>
          <w:lang w:eastAsia="zh-CN"/>
        </w:rPr>
        <w:t>一是</w:t>
      </w:r>
      <w:r>
        <w:rPr>
          <w:rFonts w:hint="default" w:ascii="Times New Roman" w:hAnsi="Times New Roman" w:eastAsia="仿宋_GB2312" w:cs="Times New Roman"/>
          <w:b/>
          <w:color w:val="auto"/>
          <w:sz w:val="32"/>
          <w:szCs w:val="32"/>
          <w:highlight w:val="none"/>
          <w:u w:val="none"/>
        </w:rPr>
        <w:t>老龄化程度快速加深。</w:t>
      </w:r>
      <w:r>
        <w:rPr>
          <w:rFonts w:hint="eastAsia" w:ascii="仿宋_GB2312" w:hAnsi="仿宋_GB2312" w:eastAsia="仿宋_GB2312" w:cs="仿宋_GB2312"/>
          <w:color w:val="auto"/>
          <w:sz w:val="32"/>
          <w:szCs w:val="32"/>
          <w:highlight w:val="none"/>
          <w:u w:val="none"/>
        </w:rPr>
        <w:t>截至2020年底，茂名市户籍老年人口（60岁及以上）为123.4万人，</w:t>
      </w:r>
      <w:r>
        <w:rPr>
          <w:rFonts w:hint="eastAsia" w:ascii="仿宋_GB2312" w:hAnsi="仿宋_GB2312" w:eastAsia="仿宋_GB2312" w:cs="仿宋_GB2312"/>
          <w:color w:val="auto"/>
          <w:sz w:val="32"/>
          <w:szCs w:val="32"/>
          <w:highlight w:val="none"/>
          <w:u w:val="none"/>
          <w:shd w:val="clear" w:color="auto" w:fill="auto"/>
        </w:rPr>
        <w:t>占</w:t>
      </w:r>
      <w:r>
        <w:rPr>
          <w:rFonts w:hint="eastAsia" w:ascii="仿宋_GB2312" w:hAnsi="仿宋_GB2312" w:eastAsia="仿宋_GB2312" w:cs="仿宋_GB2312"/>
          <w:color w:val="auto"/>
          <w:sz w:val="32"/>
          <w:szCs w:val="32"/>
          <w:highlight w:val="none"/>
          <w:u w:val="none"/>
        </w:rPr>
        <w:t>户籍人口的15.0%。未来五至二十年间将是茂名市老龄化快速发展的时期。在</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十四五</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期间，茂名市必须抓住快速老龄化的</w:t>
      </w:r>
      <w:r>
        <w:rPr>
          <w:rFonts w:hint="eastAsia" w:ascii="仿宋_GB2312" w:hAnsi="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前夜</w:t>
      </w:r>
      <w:r>
        <w:rPr>
          <w:rFonts w:hint="eastAsia" w:ascii="仿宋_GB2312" w:hAnsi="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这一时间窗口，在医保的筹资、待遇及长期护理保险、医养结合、医保</w:t>
      </w:r>
      <w:r>
        <w:rPr>
          <w:rFonts w:hint="eastAsia" w:ascii="仿宋_GB2312" w:hAnsi="仿宋_GB2312" w:eastAsia="仿宋_GB2312" w:cs="仿宋_GB2312"/>
          <w:color w:val="auto"/>
          <w:sz w:val="32"/>
          <w:szCs w:val="32"/>
          <w:highlight w:val="none"/>
          <w:u w:val="none"/>
          <w:shd w:val="clear" w:color="auto" w:fill="auto"/>
        </w:rPr>
        <w:t>慢</w:t>
      </w:r>
      <w:r>
        <w:rPr>
          <w:rFonts w:hint="eastAsia" w:ascii="仿宋_GB2312" w:hAnsi="仿宋_GB2312" w:eastAsia="仿宋_GB2312" w:cs="仿宋_GB2312"/>
          <w:color w:val="auto"/>
          <w:sz w:val="32"/>
          <w:szCs w:val="32"/>
          <w:highlight w:val="none"/>
          <w:u w:val="none"/>
        </w:rPr>
        <w:t>病管控和健康管理等方面做好战略规划和布局，以应对老龄化人</w:t>
      </w:r>
      <w:r>
        <w:rPr>
          <w:rFonts w:hint="default" w:ascii="Times New Roman" w:hAnsi="Times New Roman" w:eastAsia="仿宋_GB2312" w:cs="Times New Roman"/>
          <w:color w:val="auto"/>
          <w:sz w:val="32"/>
          <w:szCs w:val="32"/>
          <w:highlight w:val="none"/>
          <w:u w:val="none"/>
        </w:rPr>
        <w:t>口结构下的多维挑战。特别是，茂名市农村地区年轻人外出较多、存在大量的</w:t>
      </w:r>
      <w:r>
        <w:rPr>
          <w:rFonts w:hint="eastAsia" w:ascii="Times New Roman" w:hAnsi="Times New Roman"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留守老人</w:t>
      </w:r>
      <w:r>
        <w:rPr>
          <w:rFonts w:hint="eastAsia" w:ascii="Times New Roman" w:hAnsi="Times New Roman"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，如何为这部分老年人提供更好的医疗和健康保障成为需要研究解决的一个重要问题。</w:t>
      </w:r>
    </w:p>
    <w:p>
      <w:pPr>
        <w:widowControl w:val="0"/>
        <w:wordWrap/>
        <w:adjustRightInd/>
        <w:snapToGrid/>
        <w:spacing w:line="600" w:lineRule="exact"/>
        <w:ind w:firstLine="643"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color w:val="auto"/>
          <w:sz w:val="32"/>
          <w:szCs w:val="32"/>
          <w:highlight w:val="none"/>
          <w:u w:val="none"/>
          <w:lang w:eastAsia="zh-CN"/>
        </w:rPr>
        <w:t>二是</w:t>
      </w:r>
      <w:r>
        <w:rPr>
          <w:rFonts w:hint="default" w:ascii="Times New Roman" w:hAnsi="Times New Roman" w:eastAsia="仿宋_GB2312" w:cs="Times New Roman"/>
          <w:b/>
          <w:color w:val="auto"/>
          <w:sz w:val="32"/>
          <w:szCs w:val="32"/>
          <w:highlight w:val="none"/>
          <w:u w:val="none"/>
        </w:rPr>
        <w:t>民生发展对医疗保障事业提出了新要求。</w:t>
      </w:r>
      <w:r>
        <w:rPr>
          <w:rFonts w:hint="default" w:ascii="Times New Roman" w:hAnsi="Times New Roman" w:eastAsia="仿宋_GB2312" w:cs="Times New Roman"/>
          <w:color w:val="auto"/>
          <w:sz w:val="32"/>
          <w:szCs w:val="32"/>
          <w:highlight w:val="none"/>
          <w:u w:val="none"/>
        </w:rPr>
        <w:t>随着我国社会主要矛盾的</w:t>
      </w:r>
      <w:r>
        <w:rPr>
          <w:rFonts w:hint="eastAsia" w:ascii="Times New Roman" w:hAnsi="Times New Roman" w:eastAsia="仿宋_GB2312" w:cs="Times New Roman"/>
          <w:color w:val="auto"/>
          <w:sz w:val="32"/>
          <w:szCs w:val="32"/>
          <w:highlight w:val="none"/>
          <w:u w:val="none"/>
          <w:lang w:eastAsia="zh-CN"/>
        </w:rPr>
        <w:t>转变</w:t>
      </w:r>
      <w:r>
        <w:rPr>
          <w:rFonts w:hint="default" w:ascii="Times New Roman" w:hAnsi="Times New Roman" w:eastAsia="仿宋_GB2312" w:cs="Times New Roman"/>
          <w:color w:val="auto"/>
          <w:sz w:val="32"/>
          <w:szCs w:val="32"/>
          <w:highlight w:val="none"/>
          <w:u w:val="none"/>
        </w:rPr>
        <w:t>，人们对美好生活的需要在医疗保障方面更多地体现为从</w:t>
      </w:r>
      <w:r>
        <w:rPr>
          <w:rFonts w:hint="eastAsia" w:ascii="Times New Roman" w:hAnsi="Times New Roman"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病有所医</w:t>
      </w:r>
      <w:r>
        <w:rPr>
          <w:rFonts w:hint="eastAsia" w:ascii="Times New Roman" w:hAnsi="Times New Roman"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到</w:t>
      </w:r>
      <w:r>
        <w:rPr>
          <w:rFonts w:hint="eastAsia" w:ascii="Times New Roman" w:hAnsi="Times New Roman"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预防为主</w:t>
      </w:r>
      <w:r>
        <w:rPr>
          <w:rFonts w:hint="eastAsia" w:ascii="Times New Roman" w:hAnsi="Times New Roman"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和</w:t>
      </w:r>
      <w:r>
        <w:rPr>
          <w:rFonts w:hint="eastAsia" w:ascii="仿宋_GB2312" w:hAnsi="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病有良医</w:t>
      </w:r>
      <w:r>
        <w:rPr>
          <w:rFonts w:hint="eastAsia" w:ascii="仿宋_GB2312" w:hAnsi="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的</w:t>
      </w:r>
      <w:r>
        <w:rPr>
          <w:rFonts w:hint="eastAsia" w:ascii="仿宋_GB2312" w:hAnsi="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大健康</w:t>
      </w:r>
      <w:r>
        <w:rPr>
          <w:rFonts w:hint="eastAsia" w:ascii="仿宋_GB2312" w:hAnsi="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需求的转变。十九大报告和《</w:t>
      </w:r>
      <w:r>
        <w:rPr>
          <w:rFonts w:hint="eastAsia" w:ascii="仿宋_GB2312" w:hAnsi="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健康中国2030</w:t>
      </w:r>
      <w:r>
        <w:rPr>
          <w:rFonts w:hint="eastAsia" w:ascii="仿宋_GB2312" w:hAnsi="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规划纲要》都倡导要以提高人民健康水平为核心，加快转变健康领</w:t>
      </w:r>
      <w:r>
        <w:rPr>
          <w:rFonts w:hint="default" w:ascii="Times New Roman" w:hAnsi="Times New Roman" w:eastAsia="仿宋_GB2312" w:cs="Times New Roman"/>
          <w:color w:val="auto"/>
          <w:sz w:val="32"/>
          <w:szCs w:val="32"/>
          <w:highlight w:val="none"/>
          <w:u w:val="none"/>
        </w:rPr>
        <w:t>域发展方式，全方位、全周期维护和保障人民健康，这对医保事业的发展提出了新的要求。</w:t>
      </w:r>
    </w:p>
    <w:p>
      <w:pPr>
        <w:widowControl w:val="0"/>
        <w:wordWrap/>
        <w:adjustRightInd/>
        <w:snapToGrid/>
        <w:spacing w:line="600" w:lineRule="exact"/>
        <w:ind w:firstLine="643"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b/>
          <w:color w:val="auto"/>
          <w:sz w:val="32"/>
          <w:szCs w:val="32"/>
          <w:highlight w:val="none"/>
          <w:u w:val="none"/>
          <w:lang w:eastAsia="zh-CN"/>
        </w:rPr>
        <w:t>三是</w:t>
      </w:r>
      <w:r>
        <w:rPr>
          <w:rFonts w:hint="default" w:ascii="Times New Roman" w:hAnsi="Times New Roman" w:eastAsia="仿宋_GB2312" w:cs="Times New Roman"/>
          <w:b/>
          <w:color w:val="auto"/>
          <w:sz w:val="32"/>
          <w:szCs w:val="32"/>
          <w:highlight w:val="none"/>
          <w:u w:val="none"/>
        </w:rPr>
        <w:t>医保基金在可持续性方面面临一定的压力。</w:t>
      </w:r>
      <w:r>
        <w:rPr>
          <w:rFonts w:hint="default" w:ascii="Times New Roman" w:hAnsi="Times New Roman" w:eastAsia="仿宋_GB2312" w:cs="Times New Roman"/>
          <w:color w:val="auto"/>
          <w:sz w:val="32"/>
          <w:szCs w:val="32"/>
          <w:highlight w:val="none"/>
          <w:u w:val="none"/>
        </w:rPr>
        <w:t>尽管茂名市目前的医保基金收支平衡状况良好，但也面临着医疗保障和卫生支出水平上升</w:t>
      </w:r>
      <w:r>
        <w:rPr>
          <w:rFonts w:hint="default" w:ascii="Times New Roman" w:hAnsi="Times New Roman" w:eastAsia="仿宋_GB2312" w:cs="Times New Roman"/>
          <w:color w:val="auto"/>
          <w:sz w:val="32"/>
          <w:szCs w:val="32"/>
          <w:highlight w:val="none"/>
          <w:u w:val="none"/>
          <w:lang w:eastAsia="zh-CN"/>
        </w:rPr>
        <w:t>和筹资水平增幅逐步下降的压力</w:t>
      </w:r>
      <w:r>
        <w:rPr>
          <w:rFonts w:hint="default" w:ascii="Times New Roman" w:hAnsi="Times New Roman" w:eastAsia="仿宋_GB2312" w:cs="Times New Roman"/>
          <w:color w:val="auto"/>
          <w:sz w:val="32"/>
          <w:szCs w:val="32"/>
          <w:highlight w:val="none"/>
          <w:u w:val="none"/>
        </w:rPr>
        <w:t>。此外，促进医保基金支出快速增长的因素还在增加，因此需要继续加强医保基金</w:t>
      </w:r>
      <w:r>
        <w:rPr>
          <w:rFonts w:hint="default" w:ascii="Times New Roman" w:hAnsi="Times New Roman" w:eastAsia="仿宋_GB2312" w:cs="Times New Roman"/>
          <w:color w:val="auto"/>
          <w:sz w:val="32"/>
          <w:szCs w:val="32"/>
          <w:highlight w:val="none"/>
          <w:u w:val="none"/>
          <w:lang w:eastAsia="zh-CN"/>
        </w:rPr>
        <w:t>监督管理，</w:t>
      </w:r>
      <w:r>
        <w:rPr>
          <w:rFonts w:hint="default" w:ascii="Times New Roman" w:hAnsi="Times New Roman" w:eastAsia="仿宋_GB2312" w:cs="Times New Roman"/>
          <w:color w:val="auto"/>
          <w:sz w:val="32"/>
          <w:szCs w:val="32"/>
          <w:highlight w:val="none"/>
          <w:u w:val="none"/>
        </w:rPr>
        <w:t>确保</w:t>
      </w:r>
      <w:r>
        <w:rPr>
          <w:rFonts w:hint="default" w:ascii="Times New Roman" w:hAnsi="Times New Roman" w:eastAsia="仿宋_GB2312" w:cs="Times New Roman"/>
          <w:color w:val="auto"/>
          <w:sz w:val="32"/>
          <w:szCs w:val="32"/>
          <w:highlight w:val="none"/>
          <w:u w:val="none"/>
          <w:lang w:val="en-US" w:eastAsia="zh-CN"/>
        </w:rPr>
        <w:t>医保基金</w:t>
      </w:r>
      <w:r>
        <w:rPr>
          <w:rFonts w:hint="default" w:ascii="Times New Roman" w:hAnsi="Times New Roman" w:eastAsia="仿宋_GB2312" w:cs="Times New Roman"/>
          <w:color w:val="auto"/>
          <w:sz w:val="32"/>
          <w:szCs w:val="32"/>
          <w:highlight w:val="none"/>
          <w:u w:val="none"/>
        </w:rPr>
        <w:t>安全</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平稳运行</w:t>
      </w:r>
      <w:r>
        <w:rPr>
          <w:rFonts w:hint="default" w:ascii="Times New Roman" w:hAnsi="Times New Roman" w:eastAsia="仿宋_GB2312" w:cs="Times New Roman"/>
          <w:color w:val="auto"/>
          <w:sz w:val="32"/>
          <w:szCs w:val="32"/>
          <w:highlight w:val="none"/>
          <w:u w:val="none"/>
        </w:rPr>
        <w:t>。</w:t>
      </w:r>
    </w:p>
    <w:p>
      <w:pPr>
        <w:widowControl w:val="0"/>
        <w:wordWrap/>
        <w:adjustRightInd/>
        <w:snapToGrid/>
        <w:spacing w:line="600" w:lineRule="exact"/>
        <w:ind w:firstLine="643"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sz w:val="32"/>
          <w:szCs w:val="32"/>
          <w:highlight w:val="none"/>
          <w:u w:val="none"/>
          <w:lang w:eastAsia="zh-CN"/>
        </w:rPr>
        <w:t>四是</w:t>
      </w:r>
      <w:r>
        <w:rPr>
          <w:rFonts w:hint="default" w:ascii="Times New Roman" w:hAnsi="Times New Roman" w:eastAsia="仿宋_GB2312" w:cs="Times New Roman"/>
          <w:b/>
          <w:bCs/>
          <w:color w:val="auto"/>
          <w:sz w:val="32"/>
          <w:szCs w:val="32"/>
          <w:highlight w:val="none"/>
          <w:u w:val="none"/>
        </w:rPr>
        <w:t>宏观经济社会环境为医疗保障事业带来新难题。</w:t>
      </w:r>
      <w:r>
        <w:rPr>
          <w:rFonts w:hint="default" w:ascii="Times New Roman" w:hAnsi="Times New Roman" w:eastAsia="仿宋_GB2312" w:cs="Times New Roman"/>
          <w:b w:val="0"/>
          <w:bCs w:val="0"/>
          <w:color w:val="auto"/>
          <w:sz w:val="32"/>
          <w:szCs w:val="32"/>
          <w:highlight w:val="none"/>
          <w:u w:val="none"/>
          <w:lang w:val="en-US" w:eastAsia="zh-CN"/>
        </w:rPr>
        <w:t>当前我们的医疗保障事业主要面临着受到经济增长持续放缓的负面影响和抗击新</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冠</w:t>
      </w:r>
      <w:r>
        <w:rPr>
          <w:rFonts w:hint="default" w:ascii="Times New Roman" w:hAnsi="Times New Roman" w:eastAsia="仿宋_GB2312" w:cs="Times New Roman"/>
          <w:b w:val="0"/>
          <w:bCs w:val="0"/>
          <w:color w:val="auto"/>
          <w:sz w:val="32"/>
          <w:szCs w:val="32"/>
          <w:highlight w:val="none"/>
          <w:u w:val="none"/>
          <w:lang w:val="en-US" w:eastAsia="zh-CN"/>
        </w:rPr>
        <w:t>疫情的复杂形势与人民群众对医疗保障水平不断提高的期望之间的矛盾</w:t>
      </w:r>
      <w:r>
        <w:rPr>
          <w:rFonts w:hint="default" w:ascii="Times New Roman" w:hAnsi="Times New Roman" w:eastAsia="仿宋_GB2312" w:cs="Times New Roman"/>
          <w:color w:val="auto"/>
          <w:sz w:val="32"/>
          <w:szCs w:val="32"/>
          <w:highlight w:val="none"/>
          <w:u w:val="none"/>
        </w:rPr>
        <w:t>，对优化</w:t>
      </w:r>
      <w:r>
        <w:rPr>
          <w:rFonts w:hint="default" w:ascii="Times New Roman" w:hAnsi="Times New Roman" w:eastAsia="仿宋_GB2312" w:cs="Times New Roman"/>
          <w:color w:val="auto"/>
          <w:sz w:val="32"/>
          <w:szCs w:val="32"/>
          <w:highlight w:val="none"/>
          <w:u w:val="none"/>
          <w:lang w:val="en-US" w:eastAsia="zh-CN"/>
        </w:rPr>
        <w:t>医保基金</w:t>
      </w:r>
      <w:r>
        <w:rPr>
          <w:rFonts w:hint="default" w:ascii="Times New Roman" w:hAnsi="Times New Roman" w:eastAsia="仿宋_GB2312" w:cs="Times New Roman"/>
          <w:color w:val="auto"/>
          <w:sz w:val="32"/>
          <w:szCs w:val="32"/>
          <w:highlight w:val="none"/>
          <w:u w:val="none"/>
        </w:rPr>
        <w:t>财务及待遇结构</w:t>
      </w:r>
      <w:r>
        <w:rPr>
          <w:rFonts w:hint="default" w:ascii="Times New Roman" w:hAnsi="Times New Roman" w:eastAsia="仿宋_GB2312" w:cs="Times New Roman"/>
          <w:color w:val="auto"/>
          <w:sz w:val="32"/>
          <w:szCs w:val="32"/>
          <w:highlight w:val="none"/>
          <w:u w:val="none"/>
          <w:lang w:eastAsia="zh-CN"/>
        </w:rPr>
        <w:t>和管理</w:t>
      </w:r>
      <w:r>
        <w:rPr>
          <w:rFonts w:hint="default" w:ascii="Times New Roman" w:hAnsi="Times New Roman" w:eastAsia="仿宋_GB2312" w:cs="Times New Roman"/>
          <w:color w:val="auto"/>
          <w:sz w:val="32"/>
          <w:szCs w:val="32"/>
          <w:highlight w:val="none"/>
          <w:u w:val="none"/>
        </w:rPr>
        <w:t>、控制不合理的医疗费用支出、完善分级诊疗等改革提出了更高的要求。</w:t>
      </w:r>
      <w:r>
        <w:rPr>
          <w:rFonts w:hint="default" w:ascii="Times New Roman" w:hAnsi="Times New Roman" w:eastAsia="仿宋_GB2312" w:cs="Times New Roman"/>
          <w:b w:val="0"/>
          <w:bCs w:val="0"/>
          <w:color w:val="auto"/>
          <w:sz w:val="32"/>
          <w:szCs w:val="32"/>
          <w:highlight w:val="none"/>
          <w:u w:val="none"/>
          <w:lang w:val="en-US" w:eastAsia="zh-CN"/>
        </w:rPr>
        <w:t>面对人民群众对美好生活的向往和切实守护好人民群众的救命钱的大前提和当前面临</w:t>
      </w:r>
      <w:r>
        <w:rPr>
          <w:rFonts w:hint="eastAsia" w:ascii="Times New Roman" w:hAnsi="Times New Roman"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十四五</w:t>
      </w:r>
      <w:r>
        <w:rPr>
          <w:rFonts w:hint="eastAsia" w:ascii="Times New Roman" w:hAnsi="Times New Roman" w:cs="Times New Roman"/>
          <w:b w:val="0"/>
          <w:bCs w:val="0"/>
          <w:color w:val="auto"/>
          <w:sz w:val="32"/>
          <w:szCs w:val="32"/>
          <w:highlight w:val="none"/>
          <w:u w:val="none"/>
          <w:lang w:val="en-US" w:eastAsia="zh-CN"/>
        </w:rPr>
        <w:t>”</w:t>
      </w:r>
      <w:r>
        <w:rPr>
          <w:rFonts w:hint="eastAsia" w:ascii="Times New Roman" w:hAnsi="Times New Roman" w:eastAsia="仿宋_GB2312" w:cs="Times New Roman"/>
          <w:b w:val="0"/>
          <w:bCs w:val="0"/>
          <w:color w:val="auto"/>
          <w:sz w:val="32"/>
          <w:szCs w:val="32"/>
          <w:highlight w:val="none"/>
          <w:u w:val="none"/>
          <w:lang w:val="en-US" w:eastAsia="zh-CN"/>
        </w:rPr>
        <w:t>时期</w:t>
      </w:r>
      <w:r>
        <w:rPr>
          <w:rFonts w:hint="default" w:ascii="Times New Roman" w:hAnsi="Times New Roman" w:eastAsia="仿宋_GB2312" w:cs="Times New Roman"/>
          <w:b w:val="0"/>
          <w:bCs w:val="0"/>
          <w:color w:val="auto"/>
          <w:sz w:val="32"/>
          <w:szCs w:val="32"/>
          <w:highlight w:val="none"/>
          <w:u w:val="none"/>
          <w:lang w:val="en-US" w:eastAsia="zh-CN"/>
        </w:rPr>
        <w:t>各项新挑战，都对我们不断提高医疗保障基金管理水平和医疗保障服务工作水平提出了适应新时代需要的要求</w:t>
      </w:r>
      <w:r>
        <w:rPr>
          <w:rFonts w:hint="default"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lang w:val="en-US" w:eastAsia="zh-CN"/>
        </w:rPr>
        <w:t>同时这也</w:t>
      </w:r>
      <w:r>
        <w:rPr>
          <w:rFonts w:hint="default" w:ascii="Times New Roman" w:hAnsi="Times New Roman" w:eastAsia="仿宋_GB2312" w:cs="Times New Roman"/>
          <w:color w:val="auto"/>
          <w:sz w:val="32"/>
          <w:szCs w:val="32"/>
          <w:highlight w:val="none"/>
          <w:u w:val="none"/>
        </w:rPr>
        <w:t>要求医疗保障体系随时做好应对突如其来的重大公共卫生事件准备，并充分发挥医保在应急管理体系中的重要作用。此外，信息技术发展的同时也带来信息管理的挑战。由于医疗和医保信息属于个人隐私中敏感度级别较高的隐私，如何在医保管理中平衡好技术应用、数据开发和个人隐私的保护，也是未来面临的重要挑战之一。</w:t>
      </w:r>
    </w:p>
    <w:p>
      <w:pPr>
        <w:widowControl w:val="0"/>
        <w:wordWrap/>
        <w:adjustRightInd/>
        <w:snapToGrid/>
        <w:spacing w:line="600" w:lineRule="exact"/>
        <w:ind w:firstLine="0" w:firstLineChars="0"/>
        <w:textAlignment w:val="auto"/>
        <w:rPr>
          <w:rFonts w:hint="default" w:ascii="Times New Roman" w:hAnsi="Times New Roman" w:eastAsia="仿宋_GB2312" w:cs="Times New Roman"/>
          <w:color w:val="auto"/>
          <w:sz w:val="32"/>
          <w:szCs w:val="32"/>
          <w:highlight w:val="none"/>
          <w:u w:val="none"/>
        </w:rPr>
      </w:pPr>
    </w:p>
    <w:p>
      <w:pPr>
        <w:pStyle w:val="3"/>
        <w:numPr>
          <w:ilvl w:val="0"/>
          <w:numId w:val="1"/>
        </w:numPr>
        <w:spacing w:before="0" w:beforeLines="0" w:after="0" w:afterLines="0" w:line="600" w:lineRule="exact"/>
        <w:jc w:val="center"/>
        <w:outlineLvl w:val="0"/>
        <w:rPr>
          <w:rStyle w:val="15"/>
          <w:rFonts w:hint="default" w:ascii="Times New Roman" w:hAnsi="Times New Roman" w:eastAsia="方正小标宋简体" w:cs="Times New Roman"/>
          <w:b w:val="0"/>
          <w:color w:val="auto"/>
          <w:sz w:val="36"/>
          <w:szCs w:val="36"/>
          <w:highlight w:val="none"/>
          <w:u w:val="none"/>
        </w:rPr>
      </w:pPr>
      <w:r>
        <w:rPr>
          <w:rStyle w:val="15"/>
          <w:rFonts w:hint="default" w:ascii="Times New Roman" w:hAnsi="Times New Roman" w:eastAsia="方正小标宋简体" w:cs="Times New Roman"/>
          <w:b w:val="0"/>
          <w:color w:val="auto"/>
          <w:sz w:val="36"/>
          <w:szCs w:val="36"/>
          <w:highlight w:val="none"/>
          <w:u w:val="none"/>
        </w:rPr>
        <w:t xml:space="preserve">  总体要求</w:t>
      </w:r>
    </w:p>
    <w:p>
      <w:pPr>
        <w:pStyle w:val="3"/>
        <w:numPr>
          <w:ilvl w:val="0"/>
          <w:numId w:val="0"/>
        </w:numPr>
        <w:spacing w:before="0" w:beforeLines="0" w:after="0" w:afterLines="0" w:line="600" w:lineRule="exact"/>
        <w:jc w:val="both"/>
        <w:outlineLvl w:val="0"/>
        <w:rPr>
          <w:rStyle w:val="15"/>
          <w:rFonts w:hint="default" w:ascii="Times New Roman" w:hAnsi="Times New Roman" w:eastAsia="方正小标宋简体" w:cs="Times New Roman"/>
          <w:b w:val="0"/>
          <w:color w:val="auto"/>
          <w:sz w:val="36"/>
          <w:szCs w:val="36"/>
          <w:highlight w:val="none"/>
          <w:u w:val="none"/>
        </w:rPr>
      </w:pPr>
    </w:p>
    <w:p>
      <w:pPr>
        <w:pStyle w:val="4"/>
        <w:spacing w:before="0" w:beforeLines="0" w:after="0" w:afterLines="0" w:line="600" w:lineRule="exact"/>
        <w:jc w:val="center"/>
        <w:outlineLvl w:val="1"/>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第一节 指导思想</w:t>
      </w:r>
    </w:p>
    <w:p>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十四五</w:t>
      </w:r>
      <w:r>
        <w:rPr>
          <w:rFonts w:hint="eastAsia" w:ascii="Times New Roman" w:hAnsi="Times New Roman" w:cs="Times New Roman"/>
          <w:b w:val="0"/>
          <w:bCs w:val="0"/>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rPr>
        <w:t>期间，茂名市医疗保障事业发展要以习近平新时代中国特色社会主义思想为指导，深入贯彻学习习近平总书记关于医保工作的重要讲话、重要指示精神，全面贯彻党的十九大和十九届</w:t>
      </w:r>
      <w:r>
        <w:rPr>
          <w:rFonts w:hint="eastAsia" w:ascii="Times New Roman" w:hAnsi="Times New Roman" w:cs="Times New Roman"/>
          <w:color w:val="auto"/>
          <w:sz w:val="32"/>
          <w:szCs w:val="32"/>
          <w:highlight w:val="none"/>
          <w:u w:val="none"/>
          <w:lang w:eastAsia="zh-CN"/>
        </w:rPr>
        <w:t>历次</w:t>
      </w:r>
      <w:r>
        <w:rPr>
          <w:rFonts w:hint="default" w:ascii="Times New Roman" w:hAnsi="Times New Roman" w:eastAsia="仿宋_GB2312" w:cs="Times New Roman"/>
          <w:color w:val="auto"/>
          <w:sz w:val="32"/>
          <w:szCs w:val="32"/>
          <w:highlight w:val="none"/>
          <w:u w:val="none"/>
        </w:rPr>
        <w:t>全会精神，认真落实党中央、国务院决策部署和省委省政府、国家和省医疗保障局、市委市政府的工作要求，坚持以人民为中心的发展理念，以切实保障人民群众看病就医需求、提升人民群众医疗保障获得</w:t>
      </w:r>
      <w:r>
        <w:rPr>
          <w:rFonts w:hint="default" w:ascii="Times New Roman" w:hAnsi="Times New Roman" w:eastAsia="仿宋_GB2312" w:cs="Times New Roman"/>
          <w:color w:val="auto"/>
          <w:sz w:val="32"/>
          <w:szCs w:val="32"/>
          <w:highlight w:val="none"/>
          <w:u w:val="none"/>
          <w:shd w:val="clear" w:color="auto" w:fill="auto"/>
        </w:rPr>
        <w:t>感</w:t>
      </w:r>
      <w:r>
        <w:rPr>
          <w:rFonts w:hint="default" w:ascii="Times New Roman" w:hAnsi="Times New Roman" w:eastAsia="仿宋_GB2312" w:cs="Times New Roman"/>
          <w:color w:val="auto"/>
          <w:sz w:val="32"/>
          <w:szCs w:val="32"/>
          <w:highlight w:val="none"/>
          <w:u w:val="none"/>
        </w:rPr>
        <w:t>为出发点，以体制机制改革和创新为动力，深化医疗保障制度改革，加快推进医疗保障治理体系和治理能力现代化建设，建成制度合理、结构优化、治理高效的医疗保障制度体系，助力医药卫生体制改革深化，为建设健康茂名、提升人民群众健康水平</w:t>
      </w:r>
      <w:r>
        <w:rPr>
          <w:rFonts w:hint="default" w:ascii="Times New Roman" w:hAnsi="Times New Roman" w:eastAsia="仿宋_GB2312" w:cs="Times New Roman"/>
          <w:color w:val="auto"/>
          <w:sz w:val="32"/>
          <w:szCs w:val="32"/>
          <w:highlight w:val="none"/>
          <w:u w:val="none"/>
          <w:shd w:val="clear" w:color="auto" w:fill="auto"/>
        </w:rPr>
        <w:t>作出新贡献</w:t>
      </w:r>
      <w:r>
        <w:rPr>
          <w:rFonts w:hint="default" w:ascii="Times New Roman" w:hAnsi="Times New Roman" w:eastAsia="仿宋_GB2312" w:cs="Times New Roman"/>
          <w:color w:val="auto"/>
          <w:sz w:val="32"/>
          <w:szCs w:val="32"/>
          <w:highlight w:val="none"/>
          <w:u w:val="none"/>
        </w:rPr>
        <w:t>。</w:t>
      </w:r>
    </w:p>
    <w:p>
      <w:pPr>
        <w:spacing w:line="600" w:lineRule="exact"/>
        <w:ind w:firstLine="640" w:firstLineChars="200"/>
        <w:rPr>
          <w:rFonts w:hint="default" w:ascii="Times New Roman" w:hAnsi="Times New Roman" w:eastAsia="仿宋_GB2312" w:cs="Times New Roman"/>
          <w:color w:val="auto"/>
          <w:sz w:val="32"/>
          <w:szCs w:val="32"/>
          <w:highlight w:val="none"/>
          <w:u w:val="none"/>
        </w:rPr>
      </w:pPr>
    </w:p>
    <w:p>
      <w:pPr>
        <w:pStyle w:val="4"/>
        <w:spacing w:before="0" w:beforeLines="0" w:after="0" w:afterLines="0" w:line="600" w:lineRule="exact"/>
        <w:jc w:val="center"/>
        <w:outlineLvl w:val="1"/>
        <w:rPr>
          <w:rFonts w:hint="default" w:ascii="Times New Roman" w:hAnsi="Times New Roman" w:eastAsia="黑体" w:cs="Times New Roman"/>
          <w:b w:val="0"/>
          <w:bCs/>
          <w:color w:val="auto"/>
          <w:sz w:val="32"/>
          <w:szCs w:val="32"/>
          <w:highlight w:val="none"/>
          <w:u w:val="none"/>
        </w:rPr>
      </w:pPr>
      <w:r>
        <w:rPr>
          <w:rFonts w:hint="default" w:ascii="Times New Roman" w:hAnsi="Times New Roman" w:eastAsia="黑体" w:cs="Times New Roman"/>
          <w:b w:val="0"/>
          <w:bCs/>
          <w:color w:val="auto"/>
          <w:sz w:val="32"/>
          <w:szCs w:val="32"/>
          <w:highlight w:val="none"/>
          <w:u w:val="none"/>
        </w:rPr>
        <w:t>第二节 基本原则</w:t>
      </w:r>
    </w:p>
    <w:p>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（一）普惠公平原则。</w:t>
      </w:r>
      <w:r>
        <w:rPr>
          <w:rFonts w:hint="default" w:ascii="Times New Roman" w:hAnsi="Times New Roman" w:eastAsia="仿宋_GB2312" w:cs="Times New Roman"/>
          <w:color w:val="auto"/>
          <w:sz w:val="32"/>
          <w:szCs w:val="32"/>
          <w:highlight w:val="none"/>
          <w:u w:val="none"/>
        </w:rPr>
        <w:t>坚持全民参保、应保尽保、基本医疗保障依法覆盖全民，保障</w:t>
      </w:r>
      <w:r>
        <w:rPr>
          <w:rFonts w:hint="default" w:ascii="Times New Roman" w:hAnsi="Times New Roman" w:eastAsia="仿宋_GB2312" w:cs="Times New Roman"/>
          <w:color w:val="auto"/>
          <w:sz w:val="32"/>
          <w:szCs w:val="32"/>
          <w:highlight w:val="none"/>
          <w:u w:val="none"/>
          <w:lang w:val="zh-CN"/>
        </w:rPr>
        <w:t>基本，</w:t>
      </w:r>
      <w:r>
        <w:rPr>
          <w:rFonts w:hint="default" w:ascii="Times New Roman" w:hAnsi="Times New Roman" w:eastAsia="仿宋_GB2312" w:cs="Times New Roman"/>
          <w:color w:val="auto"/>
          <w:sz w:val="32"/>
          <w:szCs w:val="32"/>
          <w:highlight w:val="none"/>
          <w:u w:val="none"/>
        </w:rPr>
        <w:t>尽力而为、量力而行，合理确定保障范围和</w:t>
      </w:r>
      <w:r>
        <w:rPr>
          <w:rFonts w:hint="default" w:ascii="Times New Roman" w:hAnsi="Times New Roman" w:eastAsia="仿宋_GB2312" w:cs="Times New Roman"/>
          <w:color w:val="auto"/>
          <w:sz w:val="32"/>
          <w:szCs w:val="32"/>
          <w:highlight w:val="none"/>
          <w:u w:val="none"/>
          <w:lang w:val="zh-CN"/>
        </w:rPr>
        <w:t>标准。</w:t>
      </w:r>
      <w:r>
        <w:rPr>
          <w:rFonts w:hint="default" w:ascii="Times New Roman" w:hAnsi="Times New Roman" w:eastAsia="仿宋_GB2312" w:cs="Times New Roman"/>
          <w:color w:val="auto"/>
          <w:sz w:val="32"/>
          <w:szCs w:val="32"/>
          <w:highlight w:val="none"/>
          <w:u w:val="none"/>
        </w:rPr>
        <w:t>坚持促进公平、筑</w:t>
      </w:r>
      <w:r>
        <w:rPr>
          <w:rFonts w:hint="default" w:ascii="Times New Roman" w:hAnsi="Times New Roman" w:eastAsia="仿宋_GB2312" w:cs="Times New Roman"/>
          <w:color w:val="auto"/>
          <w:sz w:val="32"/>
          <w:szCs w:val="32"/>
          <w:highlight w:val="none"/>
          <w:u w:val="none"/>
          <w:shd w:val="clear" w:color="auto" w:fill="auto"/>
        </w:rPr>
        <w:t>牢</w:t>
      </w:r>
      <w:r>
        <w:rPr>
          <w:rFonts w:hint="default" w:ascii="Times New Roman" w:hAnsi="Times New Roman" w:eastAsia="仿宋_GB2312" w:cs="Times New Roman"/>
          <w:color w:val="auto"/>
          <w:sz w:val="32"/>
          <w:szCs w:val="32"/>
          <w:highlight w:val="none"/>
          <w:u w:val="none"/>
        </w:rPr>
        <w:t>底线，强化制度公平，逐步缩小待遇差距，增强对贫困群众基础性、兜底性</w:t>
      </w:r>
      <w:r>
        <w:rPr>
          <w:rFonts w:hint="default" w:ascii="Times New Roman" w:hAnsi="Times New Roman" w:eastAsia="仿宋_GB2312" w:cs="Times New Roman"/>
          <w:color w:val="auto"/>
          <w:sz w:val="32"/>
          <w:szCs w:val="32"/>
          <w:highlight w:val="none"/>
          <w:u w:val="none"/>
          <w:lang w:val="zh-CN"/>
        </w:rPr>
        <w:t>保障，加强对重点人群的医疗保障，建立</w:t>
      </w:r>
      <w:r>
        <w:rPr>
          <w:rFonts w:hint="default" w:ascii="Times New Roman" w:hAnsi="Times New Roman" w:eastAsia="仿宋_GB2312" w:cs="Times New Roman"/>
          <w:color w:val="auto"/>
          <w:sz w:val="32"/>
          <w:szCs w:val="32"/>
          <w:highlight w:val="none"/>
          <w:u w:val="none"/>
        </w:rPr>
        <w:t>制度统一、公平普惠的医保格局。</w:t>
      </w:r>
    </w:p>
    <w:p>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（二）稳健持续原则。</w:t>
      </w:r>
      <w:r>
        <w:rPr>
          <w:rFonts w:hint="default" w:ascii="Times New Roman" w:hAnsi="Times New Roman" w:eastAsia="仿宋_GB2312" w:cs="Times New Roman"/>
          <w:color w:val="auto"/>
          <w:sz w:val="32"/>
          <w:szCs w:val="32"/>
          <w:highlight w:val="none"/>
          <w:u w:val="none"/>
        </w:rPr>
        <w:t>坚持合理分担、均衡各方缴费责任，科学确定筹资水平。坚持防范风险，加强统筹共济，确保基金稳健持续</w:t>
      </w:r>
      <w:r>
        <w:rPr>
          <w:rFonts w:hint="default" w:ascii="Times New Roman" w:hAnsi="Times New Roman" w:eastAsia="仿宋_GB2312" w:cs="Times New Roman"/>
          <w:color w:val="auto"/>
          <w:sz w:val="32"/>
          <w:szCs w:val="32"/>
          <w:highlight w:val="none"/>
          <w:u w:val="none"/>
          <w:lang w:val="zh-CN"/>
        </w:rPr>
        <w:t>。</w:t>
      </w:r>
      <w:r>
        <w:rPr>
          <w:rFonts w:hint="default" w:ascii="Times New Roman" w:hAnsi="Times New Roman" w:eastAsia="仿宋_GB2312" w:cs="Times New Roman"/>
          <w:color w:val="auto"/>
          <w:sz w:val="32"/>
          <w:szCs w:val="32"/>
          <w:highlight w:val="none"/>
          <w:u w:val="none"/>
        </w:rPr>
        <w:t>为人民群众提供保障可靠、费用可控、服务可及、质量优良的医疗保障，实现医保制度可持续发展。</w:t>
      </w:r>
    </w:p>
    <w:p>
      <w:pPr>
        <w:spacing w:line="600" w:lineRule="exact"/>
        <w:ind w:firstLine="640" w:firstLineChars="200"/>
        <w:rPr>
          <w:rFonts w:hint="default" w:ascii="Times New Roman" w:hAnsi="Times New Roman" w:eastAsia="仿宋_GB2312" w:cs="Times New Roman"/>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rPr>
        <w:t>（三）协同高效原则。</w:t>
      </w:r>
      <w:r>
        <w:rPr>
          <w:rFonts w:hint="default" w:ascii="Times New Roman" w:hAnsi="Times New Roman" w:eastAsia="仿宋_GB2312" w:cs="Times New Roman"/>
          <w:color w:val="auto"/>
          <w:sz w:val="32"/>
          <w:szCs w:val="32"/>
          <w:highlight w:val="none"/>
          <w:u w:val="none"/>
        </w:rPr>
        <w:t>坚持系统集成、协同高效，增强医保、医疗、医药、公共卫生联动改革的整体性、系统性、协同性。明确多层次医疗保障体系的结构与功能定位，保障群众获得高质量、有效率、能负担的医药</w:t>
      </w:r>
      <w:r>
        <w:rPr>
          <w:rFonts w:hint="default" w:ascii="Times New Roman" w:hAnsi="Times New Roman" w:eastAsia="仿宋_GB2312" w:cs="Times New Roman"/>
          <w:color w:val="auto"/>
          <w:sz w:val="32"/>
          <w:szCs w:val="32"/>
          <w:highlight w:val="none"/>
          <w:u w:val="none"/>
          <w:lang w:val="zh-CN"/>
        </w:rPr>
        <w:t>服务。</w:t>
      </w:r>
    </w:p>
    <w:p>
      <w:pPr>
        <w:spacing w:line="600" w:lineRule="exact"/>
        <w:ind w:firstLine="640" w:firstLineChars="200"/>
        <w:rPr>
          <w:rFonts w:hint="default" w:ascii="Times New Roman" w:hAnsi="Times New Roman" w:eastAsia="仿宋_GB2312" w:cs="Times New Roman"/>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rPr>
        <w:t>（四）改革创新原则。</w:t>
      </w:r>
      <w:r>
        <w:rPr>
          <w:rFonts w:hint="default" w:ascii="Times New Roman" w:hAnsi="Times New Roman" w:eastAsia="仿宋_GB2312" w:cs="Times New Roman"/>
          <w:color w:val="auto"/>
          <w:sz w:val="32"/>
          <w:szCs w:val="32"/>
          <w:highlight w:val="none"/>
          <w:u w:val="none"/>
        </w:rPr>
        <w:t>坚持问题导向和治理创新、提质增效，更好地发挥政府主导作用，</w:t>
      </w:r>
      <w:r>
        <w:rPr>
          <w:rFonts w:hint="default" w:ascii="Times New Roman" w:hAnsi="Times New Roman" w:eastAsia="仿宋_GB2312" w:cs="Times New Roman"/>
          <w:color w:val="auto"/>
          <w:sz w:val="32"/>
          <w:szCs w:val="32"/>
          <w:highlight w:val="none"/>
          <w:u w:val="none"/>
          <w:lang w:eastAsia="zh-CN"/>
        </w:rPr>
        <w:t>积极</w:t>
      </w:r>
      <w:r>
        <w:rPr>
          <w:rFonts w:hint="default" w:ascii="Times New Roman" w:hAnsi="Times New Roman" w:eastAsia="仿宋_GB2312" w:cs="Times New Roman"/>
          <w:color w:val="auto"/>
          <w:sz w:val="32"/>
          <w:szCs w:val="32"/>
          <w:highlight w:val="none"/>
          <w:u w:val="none"/>
        </w:rPr>
        <w:t>发挥市场的</w:t>
      </w:r>
      <w:r>
        <w:rPr>
          <w:rFonts w:hint="default" w:ascii="Times New Roman" w:hAnsi="Times New Roman" w:eastAsia="仿宋_GB2312" w:cs="Times New Roman"/>
          <w:color w:val="auto"/>
          <w:sz w:val="32"/>
          <w:szCs w:val="32"/>
          <w:highlight w:val="none"/>
          <w:u w:val="none"/>
          <w:lang w:eastAsia="zh-CN"/>
        </w:rPr>
        <w:t>调节</w:t>
      </w:r>
      <w:r>
        <w:rPr>
          <w:rFonts w:hint="default" w:ascii="Times New Roman" w:hAnsi="Times New Roman" w:eastAsia="仿宋_GB2312" w:cs="Times New Roman"/>
          <w:color w:val="auto"/>
          <w:sz w:val="32"/>
          <w:szCs w:val="32"/>
          <w:highlight w:val="none"/>
          <w:u w:val="none"/>
        </w:rPr>
        <w:t>作用，</w:t>
      </w:r>
      <w:r>
        <w:rPr>
          <w:rFonts w:hint="default" w:ascii="Times New Roman" w:hAnsi="Times New Roman" w:eastAsia="仿宋_GB2312" w:cs="Times New Roman"/>
          <w:color w:val="auto"/>
          <w:sz w:val="32"/>
          <w:szCs w:val="32"/>
          <w:highlight w:val="none"/>
          <w:u w:val="none"/>
          <w:lang w:eastAsia="zh-CN"/>
        </w:rPr>
        <w:t>提高</w:t>
      </w:r>
      <w:r>
        <w:rPr>
          <w:rFonts w:hint="default" w:ascii="Times New Roman" w:hAnsi="Times New Roman" w:eastAsia="仿宋_GB2312" w:cs="Times New Roman"/>
          <w:color w:val="auto"/>
          <w:sz w:val="32"/>
          <w:szCs w:val="32"/>
          <w:highlight w:val="none"/>
          <w:u w:val="none"/>
        </w:rPr>
        <w:t>医保治理社会化、法治化、标准化、智能化</w:t>
      </w:r>
      <w:r>
        <w:rPr>
          <w:rFonts w:hint="default" w:ascii="Times New Roman" w:hAnsi="Times New Roman" w:eastAsia="仿宋_GB2312" w:cs="Times New Roman"/>
          <w:color w:val="auto"/>
          <w:sz w:val="32"/>
          <w:szCs w:val="32"/>
          <w:highlight w:val="none"/>
          <w:u w:val="none"/>
          <w:lang w:val="zh-CN"/>
        </w:rPr>
        <w:t>水平。</w:t>
      </w:r>
    </w:p>
    <w:p>
      <w:pPr>
        <w:spacing w:line="600" w:lineRule="exact"/>
        <w:ind w:firstLine="640" w:firstLineChars="200"/>
        <w:rPr>
          <w:rFonts w:hint="default" w:ascii="Times New Roman" w:hAnsi="Times New Roman" w:eastAsia="仿宋_GB2312" w:cs="Times New Roman"/>
          <w:color w:val="auto"/>
          <w:sz w:val="32"/>
          <w:szCs w:val="32"/>
          <w:highlight w:val="none"/>
          <w:u w:val="none"/>
          <w:lang w:val="zh-CN"/>
        </w:rPr>
      </w:pPr>
    </w:p>
    <w:p>
      <w:pPr>
        <w:pStyle w:val="4"/>
        <w:spacing w:before="0" w:beforeLines="0" w:after="0" w:afterLines="0" w:line="600" w:lineRule="exact"/>
        <w:jc w:val="center"/>
        <w:outlineLvl w:val="1"/>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第三节 主要目标</w:t>
      </w:r>
    </w:p>
    <w:p>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茂名市医疗保障</w:t>
      </w:r>
      <w:r>
        <w:rPr>
          <w:rFonts w:hint="eastAsia" w:ascii="Times New Roman" w:hAnsi="Times New Roman"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十四五</w:t>
      </w:r>
      <w:r>
        <w:rPr>
          <w:rFonts w:hint="eastAsia" w:ascii="Times New Roman" w:hAnsi="Times New Roman"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规划的总体</w:t>
      </w:r>
      <w:r>
        <w:rPr>
          <w:rFonts w:hint="eastAsia" w:ascii="仿宋_GB2312" w:hAnsi="仿宋_GB2312" w:eastAsia="仿宋_GB2312" w:cs="仿宋_GB2312"/>
          <w:color w:val="auto"/>
          <w:sz w:val="32"/>
          <w:szCs w:val="32"/>
          <w:highlight w:val="none"/>
          <w:u w:val="none"/>
        </w:rPr>
        <w:t>目</w:t>
      </w:r>
      <w:r>
        <w:rPr>
          <w:rFonts w:hint="eastAsia" w:ascii="仿宋_GB2312" w:hAnsi="仿宋_GB2312" w:eastAsia="仿宋_GB2312" w:cs="仿宋_GB2312"/>
          <w:color w:val="auto"/>
          <w:sz w:val="32"/>
          <w:szCs w:val="32"/>
          <w:highlight w:val="none"/>
          <w:u w:val="none"/>
          <w:lang w:val="zh-TW" w:eastAsia="zh-TW"/>
        </w:rPr>
        <w:t>标是：到2025年，医疗保障制度更加成熟定型，基本完成待遇保障、筹资运行、医保支付、基金监管等重要机制和医药服务供给、医保管理服务等关键领域的改革任务。</w:t>
      </w:r>
      <w:r>
        <w:rPr>
          <w:rFonts w:hint="eastAsia" w:ascii="仿宋_GB2312" w:hAnsi="仿宋_GB2312" w:eastAsia="仿宋_GB2312" w:cs="仿宋_GB2312"/>
          <w:color w:val="auto"/>
          <w:sz w:val="32"/>
          <w:szCs w:val="32"/>
          <w:highlight w:val="none"/>
          <w:u w:val="none"/>
        </w:rPr>
        <w:t>建成覆盖全民、制度优化、权责关系</w:t>
      </w:r>
      <w:r>
        <w:rPr>
          <w:rFonts w:hint="default" w:ascii="Times New Roman" w:hAnsi="Times New Roman" w:eastAsia="仿宋_GB2312" w:cs="Times New Roman"/>
          <w:color w:val="auto"/>
          <w:sz w:val="32"/>
          <w:szCs w:val="32"/>
          <w:highlight w:val="none"/>
          <w:u w:val="none"/>
        </w:rPr>
        <w:t>清晰、体系结构合理、运行机制高效的多层次医疗保障体系。通过体制改革与机制创新，增强医保决策的科学化，实现管理的精细化和治理的现代化，在全面实现</w:t>
      </w:r>
      <w:r>
        <w:rPr>
          <w:rFonts w:hint="eastAsia" w:ascii="Times New Roman" w:hAnsi="Times New Roman"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病有所医</w:t>
      </w:r>
      <w:r>
        <w:rPr>
          <w:rFonts w:hint="eastAsia" w:ascii="Times New Roman" w:hAnsi="Times New Roman"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的基础上，实现医保的高质量发展，建设公平、法治、安全、智慧、协同医保。</w:t>
      </w:r>
    </w:p>
    <w:p>
      <w:pPr>
        <w:spacing w:line="600" w:lineRule="exact"/>
        <w:ind w:firstLine="640" w:firstLineChars="200"/>
        <w:rPr>
          <w:rFonts w:hint="default" w:ascii="Times New Roman" w:hAnsi="Times New Roman" w:eastAsia="仿宋_GB2312" w:cs="Times New Roman"/>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（一）医保制度体系成熟定型。</w:t>
      </w:r>
      <w:r>
        <w:rPr>
          <w:rFonts w:hint="default" w:ascii="Times New Roman" w:hAnsi="Times New Roman" w:eastAsia="仿宋_GB2312" w:cs="Times New Roman"/>
          <w:b/>
          <w:bCs w:val="0"/>
          <w:color w:val="auto"/>
          <w:sz w:val="32"/>
          <w:szCs w:val="32"/>
          <w:highlight w:val="none"/>
          <w:u w:val="none"/>
          <w:lang w:eastAsia="zh-CN"/>
        </w:rPr>
        <w:t>一是</w:t>
      </w:r>
      <w:r>
        <w:rPr>
          <w:rFonts w:hint="default" w:ascii="Times New Roman" w:hAnsi="Times New Roman" w:eastAsia="仿宋_GB2312" w:cs="Times New Roman"/>
          <w:b w:val="0"/>
          <w:bCs w:val="0"/>
          <w:color w:val="auto"/>
          <w:sz w:val="32"/>
          <w:szCs w:val="32"/>
          <w:highlight w:val="none"/>
          <w:u w:val="none"/>
        </w:rPr>
        <w:t>实现基本医疗保险覆盖全民、依法参加，参保率稳定</w:t>
      </w:r>
      <w:r>
        <w:rPr>
          <w:rFonts w:hint="eastAsia" w:ascii="仿宋_GB2312" w:hAnsi="仿宋_GB2312" w:eastAsia="仿宋_GB2312" w:cs="仿宋_GB2312"/>
          <w:b w:val="0"/>
          <w:bCs w:val="0"/>
          <w:color w:val="auto"/>
          <w:sz w:val="32"/>
          <w:szCs w:val="32"/>
          <w:highlight w:val="none"/>
          <w:u w:val="none"/>
        </w:rPr>
        <w:t>在9</w:t>
      </w:r>
      <w:r>
        <w:rPr>
          <w:rFonts w:hint="eastAsia" w:ascii="仿宋_GB2312" w:hAnsi="仿宋_GB2312" w:eastAsia="仿宋_GB2312" w:cs="仿宋_GB2312"/>
          <w:b w:val="0"/>
          <w:bCs w:val="0"/>
          <w:color w:val="auto"/>
          <w:sz w:val="32"/>
          <w:szCs w:val="32"/>
          <w:highlight w:val="none"/>
          <w:u w:val="none"/>
          <w:lang w:val="en-US" w:eastAsia="zh-CN"/>
        </w:rPr>
        <w:t>8</w:t>
      </w:r>
      <w:r>
        <w:rPr>
          <w:rFonts w:hint="eastAsia" w:ascii="仿宋_GB2312" w:hAnsi="仿宋_GB2312" w:eastAsia="仿宋_GB2312" w:cs="仿宋_GB2312"/>
          <w:b w:val="0"/>
          <w:bCs w:val="0"/>
          <w:color w:val="auto"/>
          <w:sz w:val="32"/>
          <w:szCs w:val="32"/>
          <w:highlight w:val="none"/>
          <w:u w:val="none"/>
        </w:rPr>
        <w:t>%</w:t>
      </w:r>
      <w:r>
        <w:rPr>
          <w:rStyle w:val="16"/>
          <w:rFonts w:hint="eastAsia" w:ascii="仿宋_GB2312" w:hAnsi="仿宋_GB2312" w:eastAsia="仿宋_GB2312" w:cs="仿宋_GB2312"/>
          <w:b w:val="0"/>
          <w:bCs w:val="0"/>
          <w:color w:val="auto"/>
          <w:sz w:val="32"/>
          <w:szCs w:val="32"/>
          <w:highlight w:val="none"/>
          <w:u w:val="none"/>
        </w:rPr>
        <w:footnoteReference w:id="0"/>
      </w:r>
      <w:r>
        <w:rPr>
          <w:rFonts w:hint="eastAsia" w:ascii="仿宋_GB2312" w:hAnsi="仿宋_GB2312" w:eastAsia="仿宋_GB2312" w:cs="仿宋_GB2312"/>
          <w:b w:val="0"/>
          <w:bCs w:val="0"/>
          <w:color w:val="auto"/>
          <w:sz w:val="32"/>
          <w:szCs w:val="32"/>
          <w:highlight w:val="none"/>
          <w:u w:val="none"/>
        </w:rPr>
        <w:t>以上。深</w:t>
      </w:r>
      <w:r>
        <w:rPr>
          <w:rFonts w:hint="default" w:ascii="Times New Roman" w:hAnsi="Times New Roman" w:eastAsia="仿宋_GB2312" w:cs="Times New Roman"/>
          <w:b w:val="0"/>
          <w:bCs w:val="0"/>
          <w:color w:val="auto"/>
          <w:sz w:val="32"/>
          <w:szCs w:val="32"/>
          <w:highlight w:val="none"/>
          <w:u w:val="none"/>
        </w:rPr>
        <w:t>化医疗保障制度改革，构建符合茂名市实际的医疗保障制度体系。待遇与缴费挂钩，适度提高城乡居民医保的保障水平。</w:t>
      </w:r>
      <w:r>
        <w:rPr>
          <w:rFonts w:hint="default" w:ascii="Times New Roman" w:hAnsi="Times New Roman" w:eastAsia="仿宋_GB2312" w:cs="Times New Roman"/>
          <w:b/>
          <w:bCs w:val="0"/>
          <w:color w:val="auto"/>
          <w:sz w:val="32"/>
          <w:szCs w:val="32"/>
          <w:highlight w:val="none"/>
          <w:u w:val="none"/>
          <w:lang w:eastAsia="zh-CN"/>
        </w:rPr>
        <w:t>二是</w:t>
      </w:r>
      <w:r>
        <w:rPr>
          <w:rFonts w:hint="default" w:ascii="Times New Roman" w:hAnsi="Times New Roman" w:eastAsia="仿宋_GB2312" w:cs="Times New Roman"/>
          <w:b w:val="0"/>
          <w:bCs w:val="0"/>
          <w:color w:val="auto"/>
          <w:sz w:val="32"/>
          <w:szCs w:val="32"/>
          <w:highlight w:val="none"/>
          <w:u w:val="none"/>
        </w:rPr>
        <w:t>健全统一规范的医疗救助制度，全面落实资助重点救助对象参保缴费政策，完善住院和门诊医疗费用救助机制，实现</w:t>
      </w:r>
      <w:r>
        <w:rPr>
          <w:rFonts w:hint="default" w:ascii="Times New Roman" w:hAnsi="Times New Roman" w:eastAsia="仿宋_GB2312" w:cs="Times New Roman"/>
          <w:b w:val="0"/>
          <w:bCs w:val="0"/>
          <w:color w:val="auto"/>
          <w:sz w:val="32"/>
          <w:szCs w:val="32"/>
          <w:highlight w:val="none"/>
          <w:u w:val="none"/>
          <w:lang w:eastAsia="zh-CN"/>
        </w:rPr>
        <w:t>困难</w:t>
      </w:r>
      <w:r>
        <w:rPr>
          <w:rFonts w:hint="default" w:ascii="Times New Roman" w:hAnsi="Times New Roman" w:eastAsia="仿宋_GB2312" w:cs="Times New Roman"/>
          <w:b w:val="0"/>
          <w:bCs w:val="0"/>
          <w:color w:val="auto"/>
          <w:sz w:val="32"/>
          <w:szCs w:val="32"/>
          <w:highlight w:val="none"/>
          <w:u w:val="none"/>
        </w:rPr>
        <w:t>群众应保尽保，增强医疗救助托底保障力度。</w:t>
      </w:r>
      <w:r>
        <w:rPr>
          <w:rFonts w:hint="default" w:ascii="Times New Roman" w:hAnsi="Times New Roman" w:eastAsia="仿宋_GB2312" w:cs="Times New Roman"/>
          <w:b/>
          <w:bCs w:val="0"/>
          <w:color w:val="auto"/>
          <w:sz w:val="32"/>
          <w:szCs w:val="32"/>
          <w:highlight w:val="none"/>
          <w:u w:val="none"/>
          <w:lang w:eastAsia="zh-CN"/>
        </w:rPr>
        <w:t>三是</w:t>
      </w:r>
      <w:r>
        <w:rPr>
          <w:rFonts w:hint="default" w:ascii="Times New Roman" w:hAnsi="Times New Roman" w:eastAsia="仿宋_GB2312" w:cs="Times New Roman"/>
          <w:b w:val="0"/>
          <w:bCs w:val="0"/>
          <w:color w:val="auto"/>
          <w:sz w:val="32"/>
          <w:szCs w:val="32"/>
          <w:highlight w:val="none"/>
          <w:u w:val="none"/>
        </w:rPr>
        <w:t>在全面实现生育保险和职工基本医疗保险合并实施的基础上，完善和落实生育保险政策。</w:t>
      </w:r>
      <w:r>
        <w:rPr>
          <w:rFonts w:hint="default" w:ascii="Times New Roman" w:hAnsi="Times New Roman" w:eastAsia="仿宋_GB2312" w:cs="Times New Roman"/>
          <w:b/>
          <w:bCs w:val="0"/>
          <w:color w:val="auto"/>
          <w:sz w:val="32"/>
          <w:szCs w:val="32"/>
          <w:highlight w:val="none"/>
          <w:u w:val="none"/>
          <w:lang w:eastAsia="zh-CN"/>
        </w:rPr>
        <w:t>四是</w:t>
      </w:r>
      <w:r>
        <w:rPr>
          <w:rFonts w:hint="default" w:ascii="Times New Roman" w:hAnsi="Times New Roman" w:eastAsia="仿宋_GB2312" w:cs="Times New Roman"/>
          <w:b w:val="0"/>
          <w:bCs w:val="0"/>
          <w:color w:val="auto"/>
          <w:sz w:val="32"/>
          <w:szCs w:val="32"/>
          <w:highlight w:val="none"/>
          <w:u w:val="none"/>
        </w:rPr>
        <w:t>促进多层次医疗保障体系发展，充分发挥基本医疗保险、大病保险</w:t>
      </w:r>
      <w:r>
        <w:rPr>
          <w:rFonts w:hint="default"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rPr>
        <w:t>医疗救助</w:t>
      </w:r>
      <w:r>
        <w:rPr>
          <w:rFonts w:hint="default" w:ascii="Times New Roman" w:hAnsi="Times New Roman" w:eastAsia="仿宋_GB2312" w:cs="Times New Roman"/>
          <w:b w:val="0"/>
          <w:bCs w:val="0"/>
          <w:color w:val="auto"/>
          <w:sz w:val="32"/>
          <w:szCs w:val="32"/>
          <w:highlight w:val="none"/>
          <w:u w:val="none"/>
          <w:lang w:eastAsia="zh-CN"/>
        </w:rPr>
        <w:t>三重制度</w:t>
      </w:r>
      <w:r>
        <w:rPr>
          <w:rFonts w:hint="default" w:ascii="Times New Roman" w:hAnsi="Times New Roman" w:eastAsia="仿宋_GB2312" w:cs="Times New Roman"/>
          <w:b w:val="0"/>
          <w:bCs w:val="0"/>
          <w:color w:val="auto"/>
          <w:sz w:val="32"/>
          <w:szCs w:val="32"/>
          <w:highlight w:val="none"/>
          <w:u w:val="none"/>
        </w:rPr>
        <w:t>保障功能，实现制度互补、无缝衔接。</w:t>
      </w:r>
    </w:p>
    <w:p>
      <w:pPr>
        <w:pStyle w:val="17"/>
        <w:spacing w:line="600" w:lineRule="exact"/>
        <w:ind w:left="0" w:firstLine="640" w:firstLineChars="200"/>
        <w:rPr>
          <w:rFonts w:hint="default" w:ascii="Times New Roman" w:hAnsi="Times New Roman" w:eastAsia="仿宋_GB2312" w:cs="Times New Roman"/>
          <w:color w:val="auto"/>
          <w:sz w:val="32"/>
          <w:szCs w:val="32"/>
          <w:highlight w:val="none"/>
          <w:u w:val="none"/>
        </w:rPr>
      </w:pPr>
      <w:r>
        <w:rPr>
          <w:rFonts w:hint="eastAsia" w:ascii="楷体_GB2312" w:hAnsi="楷体_GB2312" w:eastAsia="楷体_GB2312" w:cs="楷体_GB2312"/>
          <w:b w:val="0"/>
          <w:bCs w:val="0"/>
          <w:color w:val="auto"/>
          <w:kern w:val="2"/>
          <w:sz w:val="32"/>
          <w:szCs w:val="32"/>
          <w:highlight w:val="none"/>
          <w:u w:val="none"/>
        </w:rPr>
        <w:t>（二）筹资机制稳健可持续。</w:t>
      </w:r>
      <w:r>
        <w:rPr>
          <w:rFonts w:hint="default" w:ascii="Times New Roman" w:hAnsi="Times New Roman" w:eastAsia="仿宋_GB2312" w:cs="Times New Roman"/>
          <w:color w:val="auto"/>
          <w:sz w:val="32"/>
          <w:szCs w:val="32"/>
          <w:highlight w:val="none"/>
          <w:u w:val="none"/>
        </w:rPr>
        <w:t>完善筹资分担和调整机制，合理确定费率，实行动态调</w:t>
      </w:r>
      <w:r>
        <w:rPr>
          <w:rFonts w:hint="eastAsia" w:ascii="仿宋_GB2312" w:hAnsi="仿宋_GB2312" w:eastAsia="仿宋_GB2312" w:cs="仿宋_GB2312"/>
          <w:color w:val="auto"/>
          <w:sz w:val="32"/>
          <w:szCs w:val="32"/>
          <w:highlight w:val="none"/>
          <w:u w:val="none"/>
        </w:rPr>
        <w:t>整。</w:t>
      </w:r>
      <w:r>
        <w:rPr>
          <w:rFonts w:hint="eastAsia" w:ascii="仿宋_GB2312" w:hAnsi="仿宋_GB2312" w:eastAsia="仿宋_GB2312" w:cs="仿宋_GB2312"/>
          <w:color w:val="auto"/>
          <w:sz w:val="32"/>
          <w:szCs w:val="32"/>
          <w:highlight w:val="none"/>
          <w:u w:val="none"/>
          <w:lang w:val="en-US" w:eastAsia="zh-CN"/>
        </w:rPr>
        <w:t>从2022年开始，逐步统一职工医保缴费年限，到</w:t>
      </w:r>
      <w:r>
        <w:rPr>
          <w:rFonts w:hint="eastAsia" w:ascii="仿宋_GB2312" w:hAnsi="仿宋_GB2312" w:eastAsia="仿宋_GB2312" w:cs="仿宋_GB2312"/>
          <w:color w:val="auto"/>
          <w:sz w:val="32"/>
          <w:szCs w:val="32"/>
          <w:highlight w:val="none"/>
          <w:u w:val="none"/>
          <w:lang w:eastAsia="zh-CN"/>
        </w:rPr>
        <w:t>2030年，全市累计缴费年限统一为男职工30年，女职工25年。</w:t>
      </w:r>
      <w:r>
        <w:rPr>
          <w:rFonts w:hint="eastAsia" w:ascii="仿宋_GB2312" w:hAnsi="仿宋_GB2312" w:eastAsia="仿宋_GB2312" w:cs="仿宋_GB2312"/>
          <w:color w:val="auto"/>
          <w:sz w:val="32"/>
          <w:szCs w:val="32"/>
          <w:highlight w:val="none"/>
          <w:u w:val="none"/>
        </w:rPr>
        <w:t>探索建立与经济社会发展水平和居民人均可支配收入相挂钩的居民医保缴费政策，适度提高个人</w:t>
      </w:r>
      <w:r>
        <w:rPr>
          <w:rFonts w:hint="eastAsia" w:ascii="仿宋_GB2312" w:hAnsi="仿宋_GB2312" w:eastAsia="仿宋_GB2312" w:cs="仿宋_GB2312"/>
          <w:color w:val="auto"/>
          <w:sz w:val="32"/>
          <w:szCs w:val="32"/>
          <w:highlight w:val="none"/>
          <w:u w:val="none"/>
          <w:lang w:eastAsia="zh-CN"/>
        </w:rPr>
        <w:t>缴费</w:t>
      </w:r>
      <w:r>
        <w:rPr>
          <w:rFonts w:hint="eastAsia" w:ascii="仿宋_GB2312" w:hAnsi="仿宋_GB2312" w:eastAsia="仿宋_GB2312" w:cs="仿宋_GB2312"/>
          <w:color w:val="auto"/>
          <w:sz w:val="32"/>
          <w:szCs w:val="32"/>
          <w:highlight w:val="none"/>
          <w:u w:val="none"/>
        </w:rPr>
        <w:t>比例，对部分困难人群进行补贴。适应新业态发展，完善灵活就业人员参保缴费方式，推动各类新业态从业人员和灵活就业人员参加职工医保。均衡个人、用</w:t>
      </w:r>
      <w:r>
        <w:rPr>
          <w:rFonts w:hint="default" w:ascii="Times New Roman" w:hAnsi="Times New Roman" w:eastAsia="仿宋_GB2312" w:cs="Times New Roman"/>
          <w:color w:val="auto"/>
          <w:sz w:val="32"/>
          <w:szCs w:val="32"/>
          <w:highlight w:val="none"/>
          <w:u w:val="none"/>
        </w:rPr>
        <w:t>人单位、政府三方筹资缴费责任。根据省的部署，加强财政对医疗救助的投入，合理划分各级财政责任，拓宽医疗救助筹资渠道。</w:t>
      </w:r>
    </w:p>
    <w:p>
      <w:pPr>
        <w:spacing w:line="600"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rPr>
        <w:t>（三）待遇保障公平适度。</w:t>
      </w:r>
      <w:r>
        <w:rPr>
          <w:rFonts w:hint="default" w:ascii="Times New Roman" w:hAnsi="Times New Roman" w:eastAsia="仿宋_GB2312" w:cs="Times New Roman"/>
          <w:color w:val="auto"/>
          <w:sz w:val="32"/>
          <w:szCs w:val="32"/>
          <w:highlight w:val="none"/>
          <w:u w:val="none"/>
        </w:rPr>
        <w:t>贯彻落实医疗保障待遇清单制度，</w:t>
      </w:r>
      <w:r>
        <w:rPr>
          <w:rFonts w:hint="default" w:ascii="Times New Roman" w:hAnsi="Times New Roman" w:eastAsia="仿宋_GB2312" w:cs="Times New Roman"/>
          <w:color w:val="auto"/>
          <w:sz w:val="32"/>
          <w:szCs w:val="32"/>
          <w:highlight w:val="none"/>
          <w:u w:val="none"/>
          <w:lang w:eastAsia="zh-CN"/>
        </w:rPr>
        <w:t>严格执行基本支付范围和标准；实施公平适度保障。改革职工医保个人账户，合理调整个人账户计入方式，</w:t>
      </w:r>
      <w:r>
        <w:rPr>
          <w:rFonts w:hint="default" w:ascii="Times New Roman" w:hAnsi="Times New Roman" w:eastAsia="仿宋_GB2312" w:cs="Times New Roman"/>
          <w:color w:val="auto"/>
          <w:sz w:val="32"/>
          <w:szCs w:val="32"/>
          <w:highlight w:val="none"/>
          <w:u w:val="none"/>
        </w:rPr>
        <w:t>拓展个人账户的功能。健全门诊共济保障机制，完善相关制度</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统筹做好</w:t>
      </w:r>
      <w:r>
        <w:rPr>
          <w:rFonts w:hint="eastAsia" w:ascii="Times New Roman" w:hAnsi="Times New Roman" w:eastAsia="仿宋_GB2312" w:cs="Times New Roman"/>
          <w:color w:val="auto"/>
          <w:sz w:val="32"/>
          <w:szCs w:val="32"/>
          <w:highlight w:val="none"/>
          <w:u w:val="none"/>
          <w:lang w:eastAsia="zh-CN"/>
        </w:rPr>
        <w:t>门诊特定病种</w:t>
      </w:r>
      <w:r>
        <w:rPr>
          <w:rFonts w:hint="default" w:ascii="Times New Roman" w:hAnsi="Times New Roman" w:eastAsia="仿宋_GB2312" w:cs="Times New Roman"/>
          <w:color w:val="auto"/>
          <w:sz w:val="32"/>
          <w:szCs w:val="32"/>
          <w:highlight w:val="none"/>
          <w:u w:val="none"/>
        </w:rPr>
        <w:t>和普通门诊保障，增强统筹基金对门诊医疗费用的保障能力。适度提高城乡居民参保人的住院待遇水平和最高支付限额，增强待遇的公平性。</w:t>
      </w:r>
    </w:p>
    <w:p>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（四）药品招采和医药服务管理高效。</w:t>
      </w:r>
      <w:r>
        <w:rPr>
          <w:rFonts w:hint="default" w:ascii="Times New Roman" w:hAnsi="Times New Roman" w:eastAsia="仿宋_GB2312" w:cs="Times New Roman"/>
          <w:b/>
          <w:color w:val="auto"/>
          <w:sz w:val="32"/>
          <w:szCs w:val="32"/>
          <w:highlight w:val="none"/>
          <w:u w:val="none"/>
          <w:lang w:eastAsia="zh-CN"/>
        </w:rPr>
        <w:t>一是</w:t>
      </w:r>
      <w:r>
        <w:rPr>
          <w:rFonts w:hint="default" w:ascii="Times New Roman" w:hAnsi="Times New Roman" w:eastAsia="仿宋_GB2312" w:cs="Times New Roman"/>
          <w:color w:val="auto"/>
          <w:sz w:val="32"/>
          <w:szCs w:val="32"/>
          <w:highlight w:val="none"/>
          <w:u w:val="none"/>
        </w:rPr>
        <w:t>严格执行国家和省的医保药品目录，按国家规定落实把更多救命救急的好药纳入医保的政策，切实减轻群众医药负担。</w:t>
      </w:r>
      <w:r>
        <w:rPr>
          <w:rFonts w:hint="default" w:ascii="Times New Roman" w:hAnsi="Times New Roman" w:eastAsia="仿宋_GB2312" w:cs="Times New Roman"/>
          <w:b/>
          <w:color w:val="auto"/>
          <w:sz w:val="32"/>
          <w:szCs w:val="32"/>
          <w:highlight w:val="none"/>
          <w:u w:val="none"/>
          <w:lang w:eastAsia="zh-CN"/>
        </w:rPr>
        <w:t>二是</w:t>
      </w:r>
      <w:r>
        <w:rPr>
          <w:rFonts w:hint="eastAsia" w:ascii="仿宋_GB2312" w:hAnsi="仿宋_GB2312" w:eastAsia="仿宋_GB2312" w:cs="仿宋_GB2312"/>
          <w:color w:val="auto"/>
          <w:sz w:val="32"/>
          <w:szCs w:val="32"/>
          <w:highlight w:val="none"/>
          <w:u w:val="none"/>
          <w:lang w:eastAsia="zh-CN"/>
        </w:rPr>
        <w:t>按照国家和省</w:t>
      </w:r>
      <w:r>
        <w:rPr>
          <w:rFonts w:hint="eastAsia" w:ascii="仿宋_GB2312" w:hAnsi="仿宋_GB2312" w:cs="仿宋_GB2312"/>
          <w:color w:val="auto"/>
          <w:sz w:val="32"/>
          <w:szCs w:val="32"/>
          <w:highlight w:val="none"/>
          <w:u w:val="none"/>
          <w:lang w:eastAsia="zh-CN"/>
        </w:rPr>
        <w:t>集中</w:t>
      </w:r>
      <w:r>
        <w:rPr>
          <w:rFonts w:hint="eastAsia" w:ascii="仿宋_GB2312" w:hAnsi="仿宋_GB2312" w:eastAsia="仿宋_GB2312" w:cs="仿宋_GB2312"/>
          <w:color w:val="auto"/>
          <w:sz w:val="32"/>
          <w:szCs w:val="32"/>
          <w:highlight w:val="none"/>
          <w:u w:val="none"/>
          <w:lang w:eastAsia="zh-CN"/>
        </w:rPr>
        <w:t>采购药品的品种范围，</w:t>
      </w:r>
      <w:r>
        <w:rPr>
          <w:rFonts w:hint="eastAsia" w:ascii="仿宋_GB2312" w:hAnsi="仿宋_GB2312" w:eastAsia="仿宋_GB2312" w:cs="仿宋_GB2312"/>
          <w:sz w:val="32"/>
          <w:szCs w:val="32"/>
          <w:lang w:eastAsia="zh-CN"/>
        </w:rPr>
        <w:t>组织</w:t>
      </w:r>
      <w:r>
        <w:rPr>
          <w:rFonts w:hint="eastAsia" w:ascii="仿宋_GB2312" w:hAnsi="仿宋_GB2312" w:eastAsia="仿宋_GB2312" w:cs="仿宋_GB2312"/>
          <w:sz w:val="32"/>
          <w:szCs w:val="32"/>
          <w:lang w:val="en-US" w:eastAsia="zh-CN"/>
        </w:rPr>
        <w:t>茂名</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color w:val="auto"/>
          <w:sz w:val="32"/>
          <w:szCs w:val="32"/>
          <w:highlight w:val="none"/>
          <w:u w:val="none"/>
          <w:lang w:eastAsia="zh-CN"/>
        </w:rPr>
        <w:t>定点医药机构开展集中采购，</w:t>
      </w:r>
      <w:r>
        <w:rPr>
          <w:rFonts w:hint="eastAsia" w:ascii="仿宋_GB2312" w:hAnsi="仿宋_GB2312" w:eastAsia="仿宋_GB2312" w:cs="仿宋_GB2312"/>
          <w:color w:val="auto"/>
          <w:sz w:val="32"/>
          <w:szCs w:val="32"/>
          <w:highlight w:val="none"/>
          <w:u w:val="none"/>
        </w:rPr>
        <w:t>保障药品供应，满足群众用药需求。</w:t>
      </w:r>
      <w:r>
        <w:rPr>
          <w:rFonts w:hint="eastAsia" w:ascii="仿宋_GB2312" w:hAnsi="仿宋_GB2312" w:eastAsia="仿宋_GB2312" w:cs="仿宋_GB2312"/>
          <w:b/>
          <w:color w:val="auto"/>
          <w:sz w:val="32"/>
          <w:szCs w:val="32"/>
          <w:highlight w:val="none"/>
          <w:u w:val="none"/>
          <w:lang w:eastAsia="zh-CN"/>
        </w:rPr>
        <w:t>三是</w:t>
      </w:r>
      <w:r>
        <w:rPr>
          <w:rFonts w:hint="eastAsia" w:ascii="仿宋_GB2312" w:hAnsi="仿宋_GB2312" w:eastAsia="仿宋_GB2312" w:cs="仿宋_GB2312"/>
          <w:color w:val="auto"/>
          <w:sz w:val="32"/>
          <w:szCs w:val="32"/>
          <w:highlight w:val="none"/>
          <w:u w:val="none"/>
          <w:lang w:eastAsia="zh-CN"/>
        </w:rPr>
        <w:t>落实</w:t>
      </w:r>
      <w:r>
        <w:rPr>
          <w:rFonts w:hint="eastAsia" w:ascii="仿宋_GB2312" w:hAnsi="仿宋_GB2312" w:eastAsia="仿宋_GB2312" w:cs="仿宋_GB2312"/>
          <w:color w:val="auto"/>
          <w:sz w:val="32"/>
          <w:szCs w:val="32"/>
          <w:highlight w:val="none"/>
          <w:u w:val="none"/>
        </w:rPr>
        <w:t>药品和医用耗</w:t>
      </w:r>
      <w:r>
        <w:rPr>
          <w:rFonts w:hint="default" w:ascii="Times New Roman" w:hAnsi="Times New Roman" w:eastAsia="仿宋_GB2312" w:cs="Times New Roman"/>
          <w:color w:val="auto"/>
          <w:sz w:val="32"/>
          <w:szCs w:val="32"/>
          <w:highlight w:val="none"/>
          <w:u w:val="none"/>
        </w:rPr>
        <w:t>材集中采购制度。推进药品和耗材集中采购改革，坚持集中带量采购，持续推进药品跨区域联合采购，开展高值医用耗材、检验检测试剂集中采购，推动药品和耗材</w:t>
      </w:r>
      <w:r>
        <w:rPr>
          <w:rFonts w:hint="default" w:ascii="Times New Roman" w:hAnsi="Times New Roman" w:eastAsia="仿宋_GB2312" w:cs="Times New Roman"/>
          <w:color w:val="auto"/>
          <w:sz w:val="32"/>
          <w:szCs w:val="32"/>
          <w:highlight w:val="none"/>
          <w:u w:val="none"/>
          <w:shd w:val="clear" w:color="auto" w:fill="auto"/>
        </w:rPr>
        <w:t>保供</w:t>
      </w:r>
      <w:r>
        <w:rPr>
          <w:rFonts w:hint="default" w:ascii="Times New Roman" w:hAnsi="Times New Roman" w:eastAsia="仿宋_GB2312" w:cs="Times New Roman"/>
          <w:color w:val="auto"/>
          <w:sz w:val="32"/>
          <w:szCs w:val="32"/>
          <w:highlight w:val="none"/>
          <w:u w:val="none"/>
        </w:rPr>
        <w:t>降价。促进药品和耗材价格合理回归，减轻人民群众医疗费用负担。</w:t>
      </w:r>
    </w:p>
    <w:p>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（五）治理机制创新优化。</w:t>
      </w:r>
      <w:r>
        <w:rPr>
          <w:rFonts w:hint="default" w:ascii="Times New Roman" w:hAnsi="Times New Roman" w:eastAsia="仿宋_GB2312" w:cs="Times New Roman"/>
          <w:b/>
          <w:color w:val="auto"/>
          <w:sz w:val="32"/>
          <w:szCs w:val="32"/>
          <w:highlight w:val="none"/>
          <w:u w:val="none"/>
          <w:lang w:eastAsia="zh-CN"/>
        </w:rPr>
        <w:t>一是</w:t>
      </w:r>
      <w:r>
        <w:rPr>
          <w:rFonts w:hint="default" w:ascii="Times New Roman" w:hAnsi="Times New Roman" w:eastAsia="仿宋_GB2312" w:cs="Times New Roman"/>
          <w:color w:val="auto"/>
          <w:sz w:val="32"/>
          <w:szCs w:val="32"/>
          <w:highlight w:val="none"/>
          <w:u w:val="none"/>
        </w:rPr>
        <w:t>深化医疗保险支付制度改革。全面推行总额预算管理下的复合式付费方式，优化按病种分值付费方式，实现基金支出稳定可控。实行精细化管理，激发医疗机构规范行为、控制成本、合理收治和转诊患者的内生动力。</w:t>
      </w:r>
      <w:r>
        <w:rPr>
          <w:rFonts w:hint="default" w:ascii="Times New Roman" w:hAnsi="Times New Roman" w:eastAsia="仿宋_GB2312" w:cs="Times New Roman"/>
          <w:b/>
          <w:color w:val="auto"/>
          <w:sz w:val="32"/>
          <w:szCs w:val="32"/>
          <w:highlight w:val="none"/>
          <w:u w:val="none"/>
          <w:lang w:eastAsia="zh-CN"/>
        </w:rPr>
        <w:t>二是</w:t>
      </w:r>
      <w:r>
        <w:rPr>
          <w:rFonts w:hint="default" w:ascii="Times New Roman" w:hAnsi="Times New Roman" w:eastAsia="仿宋_GB2312" w:cs="Times New Roman"/>
          <w:color w:val="auto"/>
          <w:sz w:val="32"/>
          <w:szCs w:val="32"/>
          <w:highlight w:val="none"/>
          <w:u w:val="none"/>
        </w:rPr>
        <w:t>根据国家医疗保障信息平台建设指南和标准规范，在省政府</w:t>
      </w:r>
      <w:r>
        <w:rPr>
          <w:rFonts w:hint="eastAsia" w:ascii="Times New Roman" w:hAnsi="Times New Roman"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数字政府</w:t>
      </w:r>
      <w:r>
        <w:rPr>
          <w:rFonts w:hint="eastAsia" w:ascii="Times New Roman" w:hAnsi="Times New Roman"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统一框架体系下，按照</w:t>
      </w:r>
      <w:r>
        <w:rPr>
          <w:rFonts w:hint="eastAsia" w:ascii="Times New Roman" w:hAnsi="Times New Roman"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统一、高效、兼容、便捷、安全</w:t>
      </w:r>
      <w:r>
        <w:rPr>
          <w:rFonts w:hint="eastAsia" w:ascii="Times New Roman" w:hAnsi="Times New Roman"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总目标，协助构建医疗保障信息系统。</w:t>
      </w:r>
      <w:r>
        <w:rPr>
          <w:rFonts w:hint="default" w:ascii="Times New Roman" w:hAnsi="Times New Roman" w:eastAsia="仿宋_GB2312" w:cs="Times New Roman"/>
          <w:b/>
          <w:color w:val="auto"/>
          <w:sz w:val="32"/>
          <w:szCs w:val="32"/>
          <w:highlight w:val="none"/>
          <w:u w:val="none"/>
          <w:lang w:eastAsia="zh-CN"/>
        </w:rPr>
        <w:t>三是</w:t>
      </w:r>
      <w:r>
        <w:rPr>
          <w:rFonts w:hint="default" w:ascii="Times New Roman" w:hAnsi="Times New Roman" w:eastAsia="仿宋_GB2312" w:cs="Times New Roman"/>
          <w:color w:val="auto"/>
          <w:sz w:val="32"/>
          <w:szCs w:val="32"/>
          <w:highlight w:val="none"/>
          <w:u w:val="none"/>
        </w:rPr>
        <w:t>健全严密有力的基金监管机制。继续严厉打击欺诈骗保</w:t>
      </w:r>
      <w:r>
        <w:rPr>
          <w:rFonts w:hint="default" w:ascii="Times New Roman" w:hAnsi="Times New Roman" w:eastAsia="仿宋_GB2312" w:cs="Times New Roman"/>
          <w:color w:val="auto"/>
          <w:sz w:val="32"/>
          <w:szCs w:val="32"/>
          <w:highlight w:val="none"/>
          <w:u w:val="none"/>
          <w:lang w:eastAsia="zh-CN"/>
        </w:rPr>
        <w:t>行为</w:t>
      </w:r>
      <w:r>
        <w:rPr>
          <w:rFonts w:hint="default" w:ascii="Times New Roman" w:hAnsi="Times New Roman" w:eastAsia="仿宋_GB2312" w:cs="Times New Roman"/>
          <w:color w:val="auto"/>
          <w:sz w:val="32"/>
          <w:szCs w:val="32"/>
          <w:highlight w:val="none"/>
          <w:u w:val="none"/>
        </w:rPr>
        <w:t>，借鉴医保基金</w:t>
      </w:r>
      <w:r>
        <w:rPr>
          <w:rFonts w:hint="eastAsia" w:ascii="Times New Roman" w:hAnsi="Times New Roman"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两试点，一示范</w:t>
      </w:r>
      <w:r>
        <w:rPr>
          <w:rFonts w:hint="eastAsia" w:ascii="Times New Roman" w:hAnsi="Times New Roman"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试点地区的经验，创新监管方式，建立医保信用体系，发展智能监管，形成适合茂名市实际的长效监管体系。</w:t>
      </w:r>
      <w:r>
        <w:rPr>
          <w:rFonts w:hint="default" w:ascii="Times New Roman" w:hAnsi="Times New Roman" w:eastAsia="仿宋_GB2312" w:cs="Times New Roman"/>
          <w:b/>
          <w:color w:val="auto"/>
          <w:sz w:val="32"/>
          <w:szCs w:val="32"/>
          <w:highlight w:val="none"/>
          <w:u w:val="none"/>
          <w:lang w:eastAsia="zh-CN"/>
        </w:rPr>
        <w:t>四是</w:t>
      </w:r>
      <w:r>
        <w:rPr>
          <w:rFonts w:hint="default" w:ascii="Times New Roman" w:hAnsi="Times New Roman" w:eastAsia="仿宋_GB2312" w:cs="Times New Roman"/>
          <w:color w:val="auto"/>
          <w:sz w:val="32"/>
          <w:szCs w:val="32"/>
          <w:highlight w:val="none"/>
          <w:u w:val="none"/>
        </w:rPr>
        <w:t>提升决策科学化水平。建立医保基金收支精算平衡机制，建立医保基金预警模型，运用大数据技术辅助决策。</w:t>
      </w:r>
    </w:p>
    <w:p>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（六）法治化水平稳步提升。</w:t>
      </w:r>
      <w:r>
        <w:rPr>
          <w:rFonts w:hint="default" w:ascii="Times New Roman" w:hAnsi="Times New Roman" w:eastAsia="仿宋_GB2312" w:cs="Times New Roman"/>
          <w:color w:val="auto"/>
          <w:sz w:val="32"/>
          <w:szCs w:val="32"/>
          <w:highlight w:val="none"/>
          <w:u w:val="none"/>
        </w:rPr>
        <w:t>加快医疗保障的法治建设步伐，提升医疗保障的法治化水平。建立健全茂名市医疗保障基金监督管理法治体系，规范医疗保障基金监督管理，确保医疗保障基金安全。加强医保执法，努力建立专业、成熟的医疗保障执法队伍和管理规范，持续打击欺诈骗保行为。</w:t>
      </w:r>
    </w:p>
    <w:tbl>
      <w:tblPr>
        <w:tblStyle w:val="13"/>
        <w:tblpPr w:leftFromText="180" w:rightFromText="180" w:vertAnchor="text" w:horzAnchor="page" w:tblpX="1756" w:tblpY="193"/>
        <w:tblOverlap w:val="never"/>
        <w:tblW w:w="0" w:type="auto"/>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727"/>
        <w:gridCol w:w="3786"/>
        <w:gridCol w:w="720"/>
        <w:gridCol w:w="975"/>
        <w:gridCol w:w="2130"/>
        <w:gridCol w:w="896"/>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24" w:hRule="atLeast"/>
          <w:tblHeader/>
        </w:trPr>
        <w:tc>
          <w:tcPr>
            <w:tcW w:w="9234" w:type="dxa"/>
            <w:gridSpan w:val="6"/>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default" w:ascii="Times New Roman" w:hAnsi="Times New Roman" w:eastAsia="宋体" w:cs="Times New Roman"/>
                <w:color w:val="auto"/>
                <w:sz w:val="24"/>
                <w:highlight w:val="none"/>
                <w:u w:val="none"/>
              </w:rPr>
            </w:pPr>
            <w:r>
              <w:rPr>
                <w:rFonts w:hint="eastAsia" w:ascii="仿宋_GB2312" w:hAnsi="仿宋_GB2312" w:eastAsia="仿宋_GB2312" w:cs="仿宋_GB2312"/>
                <w:b/>
                <w:bCs/>
                <w:color w:val="auto"/>
                <w:sz w:val="32"/>
                <w:szCs w:val="32"/>
                <w:highlight w:val="none"/>
                <w:u w:val="none"/>
              </w:rPr>
              <w:t xml:space="preserve">专栏1 </w:t>
            </w:r>
            <w:r>
              <w:rPr>
                <w:rFonts w:hint="eastAsia" w:ascii="仿宋_GB2312" w:hAnsi="仿宋_GB2312" w:eastAsia="仿宋_GB2312" w:cs="仿宋_GB2312"/>
                <w:b/>
                <w:bCs/>
                <w:color w:val="auto"/>
                <w:sz w:val="32"/>
                <w:szCs w:val="32"/>
                <w:highlight w:val="none"/>
                <w:u w:val="none"/>
                <w:lang w:val="en-US" w:eastAsia="zh-CN"/>
              </w:rPr>
              <w:t xml:space="preserve"> </w:t>
            </w:r>
            <w:r>
              <w:rPr>
                <w:rFonts w:hint="eastAsia" w:ascii="仿宋_GB2312" w:hAnsi="仿宋_GB2312" w:eastAsia="仿宋_GB2312" w:cs="仿宋_GB2312"/>
                <w:b/>
                <w:bCs/>
                <w:color w:val="auto"/>
                <w:sz w:val="32"/>
                <w:szCs w:val="32"/>
                <w:highlight w:val="none"/>
                <w:u w:val="none"/>
              </w:rPr>
              <w:t>“十四五”时期医疗</w:t>
            </w:r>
            <w:r>
              <w:rPr>
                <w:rFonts w:hint="default" w:ascii="Times New Roman" w:hAnsi="Times New Roman" w:eastAsia="仿宋_GB2312" w:cs="Times New Roman"/>
                <w:b/>
                <w:bCs/>
                <w:color w:val="auto"/>
                <w:sz w:val="32"/>
                <w:szCs w:val="32"/>
                <w:highlight w:val="none"/>
                <w:u w:val="none"/>
              </w:rPr>
              <w:t>保障事业高质量发展主要指标</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24" w:hRule="atLeast"/>
          <w:tblHeader/>
        </w:trPr>
        <w:tc>
          <w:tcPr>
            <w:tcW w:w="727"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黑体" w:hAnsi="黑体" w:eastAsia="黑体" w:cs="黑体"/>
                <w:color w:val="auto"/>
                <w:szCs w:val="21"/>
                <w:highlight w:val="none"/>
                <w:u w:val="none"/>
              </w:rPr>
            </w:pPr>
            <w:r>
              <w:rPr>
                <w:rFonts w:hint="eastAsia" w:ascii="黑体" w:hAnsi="黑体" w:eastAsia="黑体" w:cs="黑体"/>
                <w:color w:val="auto"/>
                <w:szCs w:val="21"/>
                <w:highlight w:val="none"/>
                <w:u w:val="none"/>
              </w:rPr>
              <w:t>类别</w:t>
            </w:r>
          </w:p>
        </w:tc>
        <w:tc>
          <w:tcPr>
            <w:tcW w:w="3786"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黑体" w:hAnsi="黑体" w:eastAsia="黑体" w:cs="黑体"/>
                <w:color w:val="auto"/>
                <w:szCs w:val="21"/>
                <w:highlight w:val="none"/>
                <w:u w:val="none"/>
              </w:rPr>
            </w:pPr>
            <w:r>
              <w:rPr>
                <w:rFonts w:hint="eastAsia" w:ascii="黑体" w:hAnsi="黑体" w:eastAsia="黑体" w:cs="黑体"/>
                <w:color w:val="auto"/>
                <w:szCs w:val="21"/>
                <w:highlight w:val="none"/>
                <w:u w:val="none"/>
              </w:rPr>
              <w:t>主要指标</w:t>
            </w:r>
          </w:p>
        </w:tc>
        <w:tc>
          <w:tcPr>
            <w:tcW w:w="720"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黑体" w:hAnsi="黑体" w:eastAsia="黑体" w:cs="黑体"/>
                <w:color w:val="auto"/>
                <w:szCs w:val="21"/>
                <w:highlight w:val="none"/>
                <w:u w:val="none"/>
              </w:rPr>
            </w:pPr>
            <w:r>
              <w:rPr>
                <w:rFonts w:hint="eastAsia" w:ascii="黑体" w:hAnsi="黑体" w:eastAsia="黑体" w:cs="黑体"/>
                <w:color w:val="auto"/>
                <w:szCs w:val="21"/>
                <w:highlight w:val="none"/>
                <w:u w:val="none"/>
              </w:rPr>
              <w:t>单位</w:t>
            </w:r>
          </w:p>
        </w:tc>
        <w:tc>
          <w:tcPr>
            <w:tcW w:w="975"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黑体" w:hAnsi="黑体" w:eastAsia="黑体" w:cs="黑体"/>
                <w:color w:val="auto"/>
                <w:szCs w:val="21"/>
                <w:highlight w:val="none"/>
                <w:u w:val="none"/>
              </w:rPr>
            </w:pPr>
            <w:r>
              <w:rPr>
                <w:rFonts w:hint="eastAsia" w:ascii="黑体" w:hAnsi="黑体" w:eastAsia="黑体" w:cs="黑体"/>
                <w:color w:val="auto"/>
                <w:szCs w:val="21"/>
                <w:highlight w:val="none"/>
                <w:u w:val="none"/>
              </w:rPr>
              <w:t>2020年</w:t>
            </w:r>
          </w:p>
        </w:tc>
        <w:tc>
          <w:tcPr>
            <w:tcW w:w="2130"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黑体" w:hAnsi="黑体" w:eastAsia="黑体" w:cs="黑体"/>
                <w:color w:val="auto"/>
                <w:szCs w:val="21"/>
                <w:highlight w:val="none"/>
                <w:u w:val="none"/>
              </w:rPr>
            </w:pPr>
            <w:r>
              <w:rPr>
                <w:rFonts w:hint="eastAsia" w:ascii="黑体" w:hAnsi="黑体" w:eastAsia="黑体" w:cs="黑体"/>
                <w:color w:val="auto"/>
                <w:szCs w:val="21"/>
                <w:highlight w:val="none"/>
                <w:u w:val="none"/>
              </w:rPr>
              <w:t>2025年</w:t>
            </w:r>
          </w:p>
        </w:tc>
        <w:tc>
          <w:tcPr>
            <w:tcW w:w="896"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黑体" w:hAnsi="黑体" w:eastAsia="黑体" w:cs="黑体"/>
                <w:color w:val="auto"/>
                <w:szCs w:val="21"/>
                <w:highlight w:val="none"/>
                <w:u w:val="none"/>
              </w:rPr>
            </w:pPr>
            <w:r>
              <w:rPr>
                <w:rFonts w:hint="eastAsia" w:ascii="黑体" w:hAnsi="黑体" w:eastAsia="黑体" w:cs="黑体"/>
                <w:color w:val="auto"/>
                <w:szCs w:val="21"/>
                <w:highlight w:val="none"/>
                <w:u w:val="none"/>
              </w:rPr>
              <w:t>指标</w:t>
            </w:r>
          </w:p>
          <w:p>
            <w:pPr>
              <w:spacing w:line="500" w:lineRule="exact"/>
              <w:jc w:val="center"/>
              <w:rPr>
                <w:rFonts w:hint="eastAsia" w:ascii="黑体" w:hAnsi="黑体" w:eastAsia="黑体" w:cs="黑体"/>
                <w:color w:val="auto"/>
                <w:szCs w:val="21"/>
                <w:highlight w:val="none"/>
                <w:u w:val="none"/>
              </w:rPr>
            </w:pPr>
            <w:r>
              <w:rPr>
                <w:rFonts w:hint="eastAsia" w:ascii="黑体" w:hAnsi="黑体" w:eastAsia="黑体" w:cs="黑体"/>
                <w:color w:val="auto"/>
                <w:szCs w:val="21"/>
                <w:highlight w:val="none"/>
                <w:u w:val="none"/>
              </w:rPr>
              <w:t>属性</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7"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宋体" w:hAnsi="宋体" w:eastAsia="宋体" w:cs="宋体"/>
                <w:b/>
                <w:bCs/>
                <w:color w:val="auto"/>
                <w:sz w:val="21"/>
                <w:szCs w:val="21"/>
                <w:highlight w:val="none"/>
                <w:u w:val="none"/>
              </w:rPr>
            </w:pPr>
            <w:r>
              <w:rPr>
                <w:rFonts w:hint="eastAsia" w:ascii="宋体" w:hAnsi="宋体" w:eastAsia="宋体" w:cs="宋体"/>
                <w:b/>
                <w:bCs/>
                <w:color w:val="auto"/>
                <w:sz w:val="21"/>
                <w:szCs w:val="21"/>
                <w:highlight w:val="none"/>
                <w:u w:val="none"/>
              </w:rPr>
              <w:t>参保覆盖</w:t>
            </w:r>
          </w:p>
        </w:tc>
        <w:tc>
          <w:tcPr>
            <w:tcW w:w="3786"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left"/>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基本医疗保险参保率</w:t>
            </w:r>
          </w:p>
        </w:tc>
        <w:tc>
          <w:tcPr>
            <w:tcW w:w="720"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w:t>
            </w:r>
          </w:p>
        </w:tc>
        <w:tc>
          <w:tcPr>
            <w:tcW w:w="975"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&gt;95</w:t>
            </w:r>
          </w:p>
        </w:tc>
        <w:tc>
          <w:tcPr>
            <w:tcW w:w="2130" w:type="dxa"/>
            <w:tcBorders>
              <w:top w:val="single" w:color="000000" w:sz="8" w:space="0"/>
              <w:left w:val="single" w:color="000000" w:sz="8" w:space="0"/>
              <w:bottom w:val="single" w:color="000000" w:sz="8" w:space="0"/>
              <w:right w:val="single" w:color="000000" w:sz="8" w:space="0"/>
            </w:tcBorders>
            <w:noWrap w:val="0"/>
            <w:vAlign w:val="center"/>
          </w:tcPr>
          <w:p>
            <w:pPr>
              <w:widowControl w:val="0"/>
              <w:wordWrap/>
              <w:adjustRightInd/>
              <w:snapToGrid/>
              <w:spacing w:line="500" w:lineRule="exact"/>
              <w:jc w:val="center"/>
              <w:textAlignment w:val="auto"/>
              <w:rPr>
                <w:rFonts w:hint="eastAsia" w:ascii="仿宋_GB2312" w:hAnsi="仿宋_GB2312" w:eastAsia="仿宋_GB2312" w:cs="仿宋_GB2312"/>
                <w:color w:val="auto"/>
                <w:sz w:val="21"/>
                <w:szCs w:val="21"/>
                <w:highlight w:val="none"/>
                <w:u w:val="none"/>
                <w:lang w:val="en-US" w:eastAsia="zh-CN"/>
              </w:rPr>
            </w:pPr>
            <w:r>
              <w:rPr>
                <w:rFonts w:hint="eastAsia" w:ascii="仿宋_GB2312" w:hAnsi="仿宋_GB2312" w:eastAsia="仿宋_GB2312" w:cs="仿宋_GB2312"/>
                <w:color w:val="auto"/>
                <w:sz w:val="21"/>
                <w:szCs w:val="21"/>
                <w:highlight w:val="none"/>
                <w:u w:val="none"/>
              </w:rPr>
              <w:t>&gt;9</w:t>
            </w:r>
            <w:r>
              <w:rPr>
                <w:rFonts w:hint="eastAsia" w:ascii="仿宋_GB2312" w:hAnsi="仿宋_GB2312" w:eastAsia="仿宋_GB2312" w:cs="仿宋_GB2312"/>
                <w:color w:val="auto"/>
                <w:sz w:val="21"/>
                <w:szCs w:val="21"/>
                <w:highlight w:val="none"/>
                <w:u w:val="none"/>
                <w:lang w:val="en-US" w:eastAsia="zh-CN"/>
              </w:rPr>
              <w:t>8</w:t>
            </w:r>
            <w:r>
              <w:rPr>
                <w:rFonts w:hint="eastAsia" w:ascii="仿宋_GB2312" w:hAnsi="仿宋_GB2312" w:eastAsia="仿宋_GB2312" w:cs="仿宋_GB2312"/>
                <w:color w:val="auto"/>
                <w:sz w:val="21"/>
                <w:szCs w:val="21"/>
                <w:highlight w:val="none"/>
                <w:u w:val="none"/>
                <w:vertAlign w:val="superscript"/>
                <w:lang w:val="en-US" w:eastAsia="zh-CN"/>
              </w:rPr>
              <w:t>①</w:t>
            </w:r>
          </w:p>
        </w:tc>
        <w:tc>
          <w:tcPr>
            <w:tcW w:w="896"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约束性</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727" w:type="dxa"/>
            <w:vMerge w:val="restart"/>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宋体" w:hAnsi="宋体" w:eastAsia="宋体" w:cs="宋体"/>
                <w:b/>
                <w:bCs/>
                <w:color w:val="auto"/>
                <w:sz w:val="21"/>
                <w:szCs w:val="21"/>
                <w:highlight w:val="none"/>
                <w:u w:val="none"/>
              </w:rPr>
            </w:pPr>
            <w:r>
              <w:rPr>
                <w:rFonts w:hint="eastAsia" w:ascii="宋体" w:hAnsi="宋体" w:eastAsia="宋体" w:cs="宋体"/>
                <w:b/>
                <w:bCs/>
                <w:color w:val="auto"/>
                <w:sz w:val="21"/>
                <w:szCs w:val="21"/>
                <w:highlight w:val="none"/>
                <w:u w:val="none"/>
              </w:rPr>
              <w:t>基金安全</w:t>
            </w:r>
          </w:p>
        </w:tc>
        <w:tc>
          <w:tcPr>
            <w:tcW w:w="3786"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基本医疗保险（</w:t>
            </w:r>
            <w:r>
              <w:rPr>
                <w:rFonts w:hint="eastAsia" w:ascii="仿宋_GB2312" w:hAnsi="仿宋_GB2312" w:eastAsia="仿宋_GB2312" w:cs="仿宋_GB2312"/>
                <w:color w:val="auto"/>
                <w:sz w:val="21"/>
                <w:szCs w:val="21"/>
                <w:highlight w:val="none"/>
                <w:u w:val="none"/>
                <w:shd w:val="clear" w:color="auto" w:fill="auto"/>
              </w:rPr>
              <w:t>含</w:t>
            </w:r>
            <w:r>
              <w:rPr>
                <w:rFonts w:hint="eastAsia" w:ascii="仿宋_GB2312" w:hAnsi="仿宋_GB2312" w:eastAsia="仿宋_GB2312" w:cs="仿宋_GB2312"/>
                <w:color w:val="auto"/>
                <w:sz w:val="21"/>
                <w:szCs w:val="21"/>
                <w:highlight w:val="none"/>
                <w:u w:val="none"/>
              </w:rPr>
              <w:t>生育保险）基金收入</w:t>
            </w:r>
          </w:p>
        </w:tc>
        <w:tc>
          <w:tcPr>
            <w:tcW w:w="720"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亿元</w:t>
            </w:r>
          </w:p>
        </w:tc>
        <w:tc>
          <w:tcPr>
            <w:tcW w:w="975"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76.40</w:t>
            </w:r>
          </w:p>
        </w:tc>
        <w:tc>
          <w:tcPr>
            <w:tcW w:w="2130"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收入规模与经济社会发展水平更加适应</w:t>
            </w:r>
          </w:p>
        </w:tc>
        <w:tc>
          <w:tcPr>
            <w:tcW w:w="896"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预期性</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123" w:hRule="atLeast"/>
        </w:trPr>
        <w:tc>
          <w:tcPr>
            <w:tcW w:w="727" w:type="dxa"/>
            <w:vMerge w:val="continue"/>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宋体" w:hAnsi="宋体" w:eastAsia="宋体" w:cs="宋体"/>
                <w:b/>
                <w:bCs/>
                <w:color w:val="auto"/>
                <w:sz w:val="21"/>
                <w:szCs w:val="21"/>
                <w:highlight w:val="none"/>
                <w:u w:val="none"/>
              </w:rPr>
            </w:pPr>
          </w:p>
        </w:tc>
        <w:tc>
          <w:tcPr>
            <w:tcW w:w="3786"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基本医疗保险（</w:t>
            </w:r>
            <w:r>
              <w:rPr>
                <w:rFonts w:hint="eastAsia" w:ascii="仿宋_GB2312" w:hAnsi="仿宋_GB2312" w:eastAsia="仿宋_GB2312" w:cs="仿宋_GB2312"/>
                <w:color w:val="auto"/>
                <w:sz w:val="21"/>
                <w:szCs w:val="21"/>
                <w:highlight w:val="none"/>
                <w:u w:val="none"/>
                <w:shd w:val="clear" w:color="auto" w:fill="auto"/>
              </w:rPr>
              <w:t>含</w:t>
            </w:r>
            <w:r>
              <w:rPr>
                <w:rFonts w:hint="eastAsia" w:ascii="仿宋_GB2312" w:hAnsi="仿宋_GB2312" w:eastAsia="仿宋_GB2312" w:cs="仿宋_GB2312"/>
                <w:color w:val="auto"/>
                <w:sz w:val="21"/>
                <w:szCs w:val="21"/>
                <w:highlight w:val="none"/>
                <w:u w:val="none"/>
              </w:rPr>
              <w:t>生育保险）基金支出</w:t>
            </w:r>
          </w:p>
        </w:tc>
        <w:tc>
          <w:tcPr>
            <w:tcW w:w="720"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亿元</w:t>
            </w:r>
          </w:p>
        </w:tc>
        <w:tc>
          <w:tcPr>
            <w:tcW w:w="975"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73.17</w:t>
            </w:r>
          </w:p>
        </w:tc>
        <w:tc>
          <w:tcPr>
            <w:tcW w:w="2130"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支出规模与经济社会发展水平、群众基本医疗需求更加适应</w:t>
            </w:r>
          </w:p>
        </w:tc>
        <w:tc>
          <w:tcPr>
            <w:tcW w:w="896"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预期性</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727" w:type="dxa"/>
            <w:vMerge w:val="restart"/>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宋体" w:hAnsi="宋体" w:eastAsia="宋体" w:cs="宋体"/>
                <w:b/>
                <w:bCs/>
                <w:color w:val="auto"/>
                <w:sz w:val="21"/>
                <w:szCs w:val="21"/>
                <w:highlight w:val="none"/>
                <w:u w:val="none"/>
                <w:lang w:eastAsia="zh-CN"/>
              </w:rPr>
            </w:pPr>
            <w:r>
              <w:rPr>
                <w:rFonts w:hint="eastAsia" w:ascii="宋体" w:hAnsi="宋体" w:eastAsia="宋体" w:cs="宋体"/>
                <w:b/>
                <w:bCs/>
                <w:color w:val="auto"/>
                <w:sz w:val="21"/>
                <w:szCs w:val="21"/>
                <w:highlight w:val="none"/>
                <w:u w:val="none"/>
                <w:lang w:eastAsia="zh-CN"/>
              </w:rPr>
              <w:t>保障</w:t>
            </w:r>
          </w:p>
          <w:p>
            <w:pPr>
              <w:spacing w:line="500" w:lineRule="exact"/>
              <w:jc w:val="center"/>
              <w:rPr>
                <w:rFonts w:hint="eastAsia" w:ascii="宋体" w:hAnsi="宋体" w:eastAsia="宋体" w:cs="宋体"/>
                <w:b/>
                <w:bCs/>
                <w:color w:val="auto"/>
                <w:sz w:val="21"/>
                <w:szCs w:val="21"/>
                <w:highlight w:val="none"/>
                <w:u w:val="none"/>
                <w:lang w:eastAsia="zh-CN"/>
              </w:rPr>
            </w:pPr>
            <w:r>
              <w:rPr>
                <w:rFonts w:hint="eastAsia" w:ascii="宋体" w:hAnsi="宋体" w:eastAsia="宋体" w:cs="宋体"/>
                <w:b/>
                <w:bCs/>
                <w:color w:val="auto"/>
                <w:sz w:val="21"/>
                <w:szCs w:val="21"/>
                <w:highlight w:val="none"/>
                <w:u w:val="none"/>
                <w:lang w:eastAsia="zh-CN"/>
              </w:rPr>
              <w:t>程度</w:t>
            </w:r>
          </w:p>
        </w:tc>
        <w:tc>
          <w:tcPr>
            <w:tcW w:w="3786"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职工基本医疗保险政策范围内住院费用基金支付比例</w:t>
            </w:r>
          </w:p>
        </w:tc>
        <w:tc>
          <w:tcPr>
            <w:tcW w:w="720"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w:t>
            </w:r>
          </w:p>
        </w:tc>
        <w:tc>
          <w:tcPr>
            <w:tcW w:w="975"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仿宋_GB2312" w:hAnsi="仿宋_GB2312" w:eastAsia="仿宋_GB2312" w:cs="仿宋_GB2312"/>
                <w:color w:val="auto"/>
                <w:sz w:val="21"/>
                <w:szCs w:val="21"/>
                <w:highlight w:val="none"/>
                <w:u w:val="none"/>
                <w:lang w:val="en-US"/>
              </w:rPr>
            </w:pPr>
            <w:r>
              <w:rPr>
                <w:rFonts w:hint="eastAsia" w:ascii="仿宋_GB2312" w:hAnsi="仿宋_GB2312" w:eastAsia="仿宋_GB2312" w:cs="仿宋_GB2312"/>
                <w:color w:val="auto"/>
                <w:sz w:val="21"/>
                <w:szCs w:val="21"/>
                <w:highlight w:val="none"/>
                <w:u w:val="none"/>
                <w:lang w:val="en-US" w:eastAsia="zh-CN"/>
              </w:rPr>
              <w:t>80</w:t>
            </w:r>
          </w:p>
        </w:tc>
        <w:tc>
          <w:tcPr>
            <w:tcW w:w="2130"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仿宋_GB2312" w:hAnsi="仿宋_GB2312" w:eastAsia="仿宋_GB2312" w:cs="仿宋_GB2312"/>
                <w:color w:val="auto"/>
                <w:sz w:val="21"/>
                <w:szCs w:val="21"/>
                <w:highlight w:val="none"/>
                <w:u w:val="none"/>
                <w:lang w:val="en-US" w:eastAsia="zh-CN"/>
              </w:rPr>
            </w:pPr>
            <w:r>
              <w:rPr>
                <w:rFonts w:hint="eastAsia" w:ascii="仿宋_GB2312" w:hAnsi="仿宋_GB2312" w:eastAsia="仿宋_GB2312" w:cs="仿宋_GB2312"/>
                <w:color w:val="auto"/>
                <w:sz w:val="21"/>
                <w:szCs w:val="21"/>
                <w:highlight w:val="none"/>
                <w:u w:val="none"/>
                <w:lang w:val="en-US" w:eastAsia="zh-CN"/>
              </w:rPr>
              <w:t>85.2</w:t>
            </w:r>
          </w:p>
        </w:tc>
        <w:tc>
          <w:tcPr>
            <w:tcW w:w="896"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预期性</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727" w:type="dxa"/>
            <w:vMerge w:val="continue"/>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宋体" w:hAnsi="宋体" w:eastAsia="宋体" w:cs="宋体"/>
                <w:b/>
                <w:bCs/>
                <w:color w:val="auto"/>
                <w:sz w:val="21"/>
                <w:szCs w:val="21"/>
                <w:highlight w:val="none"/>
                <w:u w:val="none"/>
              </w:rPr>
            </w:pPr>
          </w:p>
        </w:tc>
        <w:tc>
          <w:tcPr>
            <w:tcW w:w="3786"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城乡居民基本医疗保险政策范围内住院费用基金支付比例</w:t>
            </w:r>
          </w:p>
        </w:tc>
        <w:tc>
          <w:tcPr>
            <w:tcW w:w="720"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w:t>
            </w:r>
          </w:p>
        </w:tc>
        <w:tc>
          <w:tcPr>
            <w:tcW w:w="975"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仿宋_GB2312" w:hAnsi="仿宋_GB2312" w:eastAsia="仿宋_GB2312" w:cs="仿宋_GB2312"/>
                <w:color w:val="auto"/>
                <w:sz w:val="21"/>
                <w:szCs w:val="21"/>
                <w:highlight w:val="none"/>
                <w:u w:val="none"/>
                <w:lang w:val="en-US"/>
              </w:rPr>
            </w:pPr>
            <w:r>
              <w:rPr>
                <w:rFonts w:hint="eastAsia" w:ascii="仿宋_GB2312" w:hAnsi="仿宋_GB2312" w:eastAsia="仿宋_GB2312" w:cs="仿宋_GB2312"/>
                <w:color w:val="auto"/>
                <w:sz w:val="21"/>
                <w:szCs w:val="21"/>
                <w:highlight w:val="none"/>
                <w:u w:val="none"/>
                <w:lang w:val="en-US" w:eastAsia="zh-CN"/>
              </w:rPr>
              <w:t>70</w:t>
            </w:r>
          </w:p>
        </w:tc>
        <w:tc>
          <w:tcPr>
            <w:tcW w:w="2130"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保持稳定</w:t>
            </w:r>
          </w:p>
        </w:tc>
        <w:tc>
          <w:tcPr>
            <w:tcW w:w="896"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预期性</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727" w:type="dxa"/>
            <w:vMerge w:val="continue"/>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宋体" w:hAnsi="宋体" w:eastAsia="宋体" w:cs="宋体"/>
                <w:b/>
                <w:bCs/>
                <w:color w:val="auto"/>
                <w:sz w:val="21"/>
                <w:szCs w:val="21"/>
                <w:highlight w:val="none"/>
                <w:u w:val="none"/>
              </w:rPr>
            </w:pPr>
          </w:p>
        </w:tc>
        <w:tc>
          <w:tcPr>
            <w:tcW w:w="3786"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重点救助对象符合规定的住院医疗费用救助比例</w:t>
            </w:r>
          </w:p>
        </w:tc>
        <w:tc>
          <w:tcPr>
            <w:tcW w:w="720"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w:t>
            </w:r>
          </w:p>
        </w:tc>
        <w:tc>
          <w:tcPr>
            <w:tcW w:w="975"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both"/>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lang w:val="en-US" w:eastAsia="zh-CN"/>
              </w:rPr>
              <w:t>80以上</w:t>
            </w:r>
          </w:p>
        </w:tc>
        <w:tc>
          <w:tcPr>
            <w:tcW w:w="2130"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保持稳定</w:t>
            </w:r>
          </w:p>
        </w:tc>
        <w:tc>
          <w:tcPr>
            <w:tcW w:w="896"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预期性</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727" w:type="dxa"/>
            <w:vMerge w:val="restart"/>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宋体" w:hAnsi="宋体" w:eastAsia="宋体" w:cs="宋体"/>
                <w:b/>
                <w:bCs/>
                <w:color w:val="auto"/>
                <w:sz w:val="21"/>
                <w:szCs w:val="21"/>
                <w:highlight w:val="none"/>
                <w:u w:val="none"/>
              </w:rPr>
            </w:pPr>
            <w:r>
              <w:rPr>
                <w:rFonts w:hint="eastAsia" w:ascii="宋体" w:hAnsi="宋体" w:eastAsia="宋体" w:cs="宋体"/>
                <w:b/>
                <w:bCs/>
                <w:color w:val="auto"/>
                <w:sz w:val="21"/>
                <w:szCs w:val="21"/>
                <w:highlight w:val="none"/>
                <w:u w:val="none"/>
              </w:rPr>
              <w:t>精细管理</w:t>
            </w:r>
          </w:p>
        </w:tc>
        <w:tc>
          <w:tcPr>
            <w:tcW w:w="3786"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实行按疾病诊断相关分组付费和按病种付费的住院费用占全部住院费用的比例</w:t>
            </w:r>
          </w:p>
        </w:tc>
        <w:tc>
          <w:tcPr>
            <w:tcW w:w="720"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w:t>
            </w:r>
          </w:p>
        </w:tc>
        <w:tc>
          <w:tcPr>
            <w:tcW w:w="975"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lang w:val="en-US" w:eastAsia="zh-CN"/>
              </w:rPr>
              <w:t>85.14</w:t>
            </w:r>
          </w:p>
        </w:tc>
        <w:tc>
          <w:tcPr>
            <w:tcW w:w="2130"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90</w:t>
            </w:r>
          </w:p>
        </w:tc>
        <w:tc>
          <w:tcPr>
            <w:tcW w:w="896"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预期性</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009" w:hRule="atLeast"/>
        </w:trPr>
        <w:tc>
          <w:tcPr>
            <w:tcW w:w="727" w:type="dxa"/>
            <w:vMerge w:val="continue"/>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宋体" w:hAnsi="宋体" w:eastAsia="宋体" w:cs="宋体"/>
                <w:b/>
                <w:bCs/>
                <w:color w:val="auto"/>
                <w:sz w:val="21"/>
                <w:szCs w:val="21"/>
                <w:highlight w:val="none"/>
                <w:u w:val="none"/>
              </w:rPr>
            </w:pPr>
          </w:p>
        </w:tc>
        <w:tc>
          <w:tcPr>
            <w:tcW w:w="3786"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公立医疗机构通过集中采购平台采购药品金额占全部采购药品（不含中药饮片）金额的比例</w:t>
            </w:r>
          </w:p>
        </w:tc>
        <w:tc>
          <w:tcPr>
            <w:tcW w:w="720"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w:t>
            </w:r>
          </w:p>
        </w:tc>
        <w:tc>
          <w:tcPr>
            <w:tcW w:w="975"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仿宋_GB2312" w:hAnsi="仿宋_GB2312" w:eastAsia="仿宋_GB2312" w:cs="仿宋_GB2312"/>
                <w:color w:val="auto"/>
                <w:sz w:val="21"/>
                <w:szCs w:val="21"/>
                <w:highlight w:val="none"/>
                <w:u w:val="none"/>
                <w:lang w:val="en-US" w:eastAsia="zh-CN"/>
              </w:rPr>
            </w:pPr>
            <w:r>
              <w:rPr>
                <w:rFonts w:hint="eastAsia" w:ascii="仿宋_GB2312" w:hAnsi="仿宋_GB2312" w:eastAsia="仿宋_GB2312" w:cs="仿宋_GB2312"/>
                <w:color w:val="auto"/>
                <w:sz w:val="21"/>
                <w:szCs w:val="21"/>
                <w:highlight w:val="none"/>
                <w:u w:val="none"/>
                <w:lang w:val="en-US" w:eastAsia="zh-CN"/>
              </w:rPr>
              <w:t>97.5</w:t>
            </w:r>
          </w:p>
        </w:tc>
        <w:tc>
          <w:tcPr>
            <w:tcW w:w="2130" w:type="dxa"/>
            <w:tcBorders>
              <w:top w:val="single" w:color="000000" w:sz="8" w:space="0"/>
              <w:left w:val="single" w:color="000000" w:sz="8" w:space="0"/>
              <w:bottom w:val="single" w:color="000000" w:sz="8" w:space="0"/>
              <w:right w:val="single" w:color="000000" w:sz="8" w:space="0"/>
            </w:tcBorders>
            <w:noWrap w:val="0"/>
            <w:vAlign w:val="center"/>
          </w:tcPr>
          <w:p>
            <w:pPr>
              <w:widowControl w:val="0"/>
              <w:wordWrap/>
              <w:adjustRightInd/>
              <w:snapToGrid/>
              <w:spacing w:line="500" w:lineRule="exact"/>
              <w:jc w:val="center"/>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90</w:t>
            </w:r>
          </w:p>
        </w:tc>
        <w:tc>
          <w:tcPr>
            <w:tcW w:w="896"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预期性</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208" w:hRule="atLeast"/>
        </w:trPr>
        <w:tc>
          <w:tcPr>
            <w:tcW w:w="727" w:type="dxa"/>
            <w:vMerge w:val="continue"/>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宋体" w:hAnsi="宋体" w:eastAsia="宋体" w:cs="宋体"/>
                <w:b/>
                <w:bCs/>
                <w:color w:val="auto"/>
                <w:sz w:val="21"/>
                <w:szCs w:val="21"/>
                <w:highlight w:val="none"/>
                <w:u w:val="none"/>
              </w:rPr>
            </w:pPr>
          </w:p>
        </w:tc>
        <w:tc>
          <w:tcPr>
            <w:tcW w:w="3786"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公立医疗机构通过集中采购平台采购高值医用耗材金额占全部采购高值医用耗材金额的比例</w:t>
            </w:r>
          </w:p>
        </w:tc>
        <w:tc>
          <w:tcPr>
            <w:tcW w:w="720"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w:t>
            </w:r>
          </w:p>
        </w:tc>
        <w:tc>
          <w:tcPr>
            <w:tcW w:w="975"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w:t>
            </w:r>
          </w:p>
        </w:tc>
        <w:tc>
          <w:tcPr>
            <w:tcW w:w="2130" w:type="dxa"/>
            <w:tcBorders>
              <w:top w:val="single" w:color="000000" w:sz="8" w:space="0"/>
              <w:left w:val="single" w:color="000000" w:sz="8" w:space="0"/>
              <w:bottom w:val="single" w:color="000000" w:sz="8" w:space="0"/>
              <w:right w:val="single" w:color="000000" w:sz="8" w:space="0"/>
            </w:tcBorders>
            <w:noWrap w:val="0"/>
            <w:vAlign w:val="center"/>
          </w:tcPr>
          <w:p>
            <w:pPr>
              <w:widowControl w:val="0"/>
              <w:wordWrap/>
              <w:adjustRightInd/>
              <w:snapToGrid/>
              <w:spacing w:line="500" w:lineRule="exact"/>
              <w:jc w:val="center"/>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80</w:t>
            </w:r>
          </w:p>
        </w:tc>
        <w:tc>
          <w:tcPr>
            <w:tcW w:w="896"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预期性</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727" w:type="dxa"/>
            <w:vMerge w:val="continue"/>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宋体" w:hAnsi="宋体" w:eastAsia="宋体" w:cs="宋体"/>
                <w:b/>
                <w:bCs/>
                <w:color w:val="auto"/>
                <w:sz w:val="21"/>
                <w:szCs w:val="21"/>
                <w:highlight w:val="none"/>
                <w:u w:val="none"/>
              </w:rPr>
            </w:pPr>
          </w:p>
        </w:tc>
        <w:tc>
          <w:tcPr>
            <w:tcW w:w="3786"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药品集中带量采购品种</w:t>
            </w:r>
          </w:p>
        </w:tc>
        <w:tc>
          <w:tcPr>
            <w:tcW w:w="720"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个</w:t>
            </w:r>
          </w:p>
        </w:tc>
        <w:tc>
          <w:tcPr>
            <w:tcW w:w="975"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仿宋_GB2312" w:hAnsi="仿宋_GB2312" w:eastAsia="仿宋_GB2312" w:cs="仿宋_GB2312"/>
                <w:color w:val="auto"/>
                <w:sz w:val="21"/>
                <w:szCs w:val="21"/>
                <w:highlight w:val="none"/>
                <w:u w:val="none"/>
                <w:lang w:val="en-US" w:eastAsia="zh-CN"/>
              </w:rPr>
            </w:pPr>
            <w:r>
              <w:rPr>
                <w:rFonts w:hint="eastAsia" w:ascii="仿宋_GB2312" w:hAnsi="仿宋_GB2312" w:eastAsia="仿宋_GB2312" w:cs="仿宋_GB2312"/>
                <w:color w:val="auto"/>
                <w:sz w:val="21"/>
                <w:szCs w:val="21"/>
                <w:highlight w:val="none"/>
                <w:u w:val="none"/>
                <w:lang w:val="en-US" w:eastAsia="zh-CN"/>
              </w:rPr>
              <w:t>112</w:t>
            </w:r>
          </w:p>
        </w:tc>
        <w:tc>
          <w:tcPr>
            <w:tcW w:w="2130" w:type="dxa"/>
            <w:tcBorders>
              <w:top w:val="single" w:color="000000" w:sz="8" w:space="0"/>
              <w:left w:val="single" w:color="000000" w:sz="8" w:space="0"/>
              <w:bottom w:val="single" w:color="000000" w:sz="8" w:space="0"/>
              <w:right w:val="single" w:color="000000" w:sz="8" w:space="0"/>
            </w:tcBorders>
            <w:noWrap w:val="0"/>
            <w:vAlign w:val="center"/>
          </w:tcPr>
          <w:p>
            <w:pPr>
              <w:widowControl w:val="0"/>
              <w:wordWrap/>
              <w:adjustRightInd/>
              <w:snapToGrid/>
              <w:spacing w:line="500" w:lineRule="exact"/>
              <w:jc w:val="center"/>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&gt;500</w:t>
            </w:r>
            <w:r>
              <w:rPr>
                <w:rFonts w:hint="eastAsia" w:ascii="仿宋_GB2312" w:hAnsi="仿宋_GB2312" w:eastAsia="仿宋_GB2312" w:cs="仿宋_GB2312"/>
                <w:color w:val="auto"/>
                <w:sz w:val="21"/>
                <w:szCs w:val="21"/>
                <w:highlight w:val="none"/>
                <w:u w:val="none"/>
                <w:vertAlign w:val="superscript"/>
              </w:rPr>
              <w:t>②</w:t>
            </w:r>
          </w:p>
        </w:tc>
        <w:tc>
          <w:tcPr>
            <w:tcW w:w="896"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预期性</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727" w:type="dxa"/>
            <w:vMerge w:val="continue"/>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宋体" w:hAnsi="宋体" w:eastAsia="宋体" w:cs="宋体"/>
                <w:b/>
                <w:bCs/>
                <w:color w:val="auto"/>
                <w:sz w:val="21"/>
                <w:szCs w:val="21"/>
                <w:highlight w:val="none"/>
                <w:u w:val="none"/>
              </w:rPr>
            </w:pPr>
          </w:p>
        </w:tc>
        <w:tc>
          <w:tcPr>
            <w:tcW w:w="3786"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高值医用耗材集中带量采购品种</w:t>
            </w:r>
          </w:p>
        </w:tc>
        <w:tc>
          <w:tcPr>
            <w:tcW w:w="720"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类</w:t>
            </w:r>
          </w:p>
        </w:tc>
        <w:tc>
          <w:tcPr>
            <w:tcW w:w="975"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w:t>
            </w:r>
          </w:p>
        </w:tc>
        <w:tc>
          <w:tcPr>
            <w:tcW w:w="2130" w:type="dxa"/>
            <w:tcBorders>
              <w:top w:val="single" w:color="000000" w:sz="8" w:space="0"/>
              <w:left w:val="single" w:color="000000" w:sz="8" w:space="0"/>
              <w:bottom w:val="single" w:color="000000" w:sz="8" w:space="0"/>
              <w:right w:val="single" w:color="000000" w:sz="8" w:space="0"/>
            </w:tcBorders>
            <w:noWrap w:val="0"/>
            <w:vAlign w:val="center"/>
          </w:tcPr>
          <w:p>
            <w:pPr>
              <w:widowControl w:val="0"/>
              <w:wordWrap/>
              <w:adjustRightInd/>
              <w:snapToGrid/>
              <w:spacing w:line="500" w:lineRule="exact"/>
              <w:jc w:val="center"/>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8</w:t>
            </w:r>
            <w:r>
              <w:rPr>
                <w:rFonts w:hint="eastAsia" w:ascii="仿宋_GB2312" w:hAnsi="仿宋_GB2312" w:eastAsia="仿宋_GB2312" w:cs="仿宋_GB2312"/>
                <w:i w:val="0"/>
                <w:caps w:val="0"/>
                <w:color w:val="auto"/>
                <w:spacing w:val="0"/>
                <w:kern w:val="2"/>
                <w:sz w:val="21"/>
                <w:szCs w:val="21"/>
                <w:highlight w:val="none"/>
                <w:u w:val="none"/>
                <w:shd w:val="clear" w:color="0A0000" w:fill="auto"/>
                <w:vertAlign w:val="superscript"/>
                <w:lang w:val="en-US" w:eastAsia="zh-CN"/>
              </w:rPr>
              <w:t>③</w:t>
            </w:r>
          </w:p>
        </w:tc>
        <w:tc>
          <w:tcPr>
            <w:tcW w:w="896"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预期性</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27" w:type="dxa"/>
            <w:vMerge w:val="restart"/>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宋体" w:hAnsi="宋体" w:eastAsia="宋体" w:cs="宋体"/>
                <w:b/>
                <w:bCs/>
                <w:color w:val="auto"/>
                <w:sz w:val="21"/>
                <w:szCs w:val="21"/>
                <w:highlight w:val="none"/>
                <w:u w:val="none"/>
              </w:rPr>
            </w:pPr>
            <w:r>
              <w:rPr>
                <w:rFonts w:hint="eastAsia" w:ascii="宋体" w:hAnsi="宋体" w:eastAsia="宋体" w:cs="宋体"/>
                <w:b/>
                <w:bCs/>
                <w:color w:val="auto"/>
                <w:sz w:val="21"/>
                <w:szCs w:val="21"/>
                <w:highlight w:val="none"/>
                <w:u w:val="none"/>
              </w:rPr>
              <w:t>优质服务</w:t>
            </w:r>
          </w:p>
        </w:tc>
        <w:tc>
          <w:tcPr>
            <w:tcW w:w="3786" w:type="dxa"/>
            <w:tcBorders>
              <w:top w:val="single" w:color="000000" w:sz="8" w:space="0"/>
              <w:left w:val="single" w:color="000000" w:sz="8" w:space="0"/>
              <w:bottom w:val="single" w:color="000000" w:sz="8" w:space="0"/>
              <w:right w:val="single" w:color="000000" w:sz="8" w:space="0"/>
            </w:tcBorders>
            <w:noWrap w:val="0"/>
            <w:vAlign w:val="center"/>
          </w:tcPr>
          <w:p>
            <w:pPr>
              <w:widowControl w:val="0"/>
              <w:wordWrap/>
              <w:adjustRightInd/>
              <w:snapToGrid/>
              <w:spacing w:line="500" w:lineRule="exact"/>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住院费用跨省直接结算</w:t>
            </w:r>
            <w:r>
              <w:rPr>
                <w:rFonts w:hint="eastAsia" w:ascii="仿宋_GB2312" w:hAnsi="仿宋_GB2312" w:eastAsia="仿宋_GB2312" w:cs="仿宋_GB2312"/>
                <w:color w:val="auto"/>
                <w:sz w:val="21"/>
                <w:szCs w:val="21"/>
                <w:highlight w:val="none"/>
                <w:u w:val="none"/>
                <w:shd w:val="clear" w:color="auto" w:fill="auto"/>
              </w:rPr>
              <w:t>率</w:t>
            </w:r>
            <w:r>
              <w:rPr>
                <w:rFonts w:hint="eastAsia" w:ascii="仿宋_GB2312" w:hAnsi="仿宋_GB2312" w:eastAsia="仿宋_GB2312" w:cs="仿宋_GB2312"/>
                <w:i w:val="0"/>
                <w:caps w:val="0"/>
                <w:color w:val="auto"/>
                <w:spacing w:val="0"/>
                <w:kern w:val="2"/>
                <w:sz w:val="21"/>
                <w:szCs w:val="21"/>
                <w:highlight w:val="none"/>
                <w:u w:val="none"/>
                <w:shd w:val="clear" w:color="0A0000" w:fill="auto"/>
                <w:vertAlign w:val="superscript"/>
                <w:lang w:val="en-US" w:eastAsia="zh-CN"/>
              </w:rPr>
              <w:t>④</w:t>
            </w:r>
          </w:p>
        </w:tc>
        <w:tc>
          <w:tcPr>
            <w:tcW w:w="720"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w:t>
            </w:r>
          </w:p>
        </w:tc>
        <w:tc>
          <w:tcPr>
            <w:tcW w:w="975"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w:t>
            </w:r>
          </w:p>
        </w:tc>
        <w:tc>
          <w:tcPr>
            <w:tcW w:w="2130" w:type="dxa"/>
            <w:tcBorders>
              <w:top w:val="single" w:color="000000" w:sz="8" w:space="0"/>
              <w:left w:val="single" w:color="000000" w:sz="8" w:space="0"/>
              <w:bottom w:val="single" w:color="000000" w:sz="8" w:space="0"/>
              <w:right w:val="single" w:color="000000" w:sz="8" w:space="0"/>
            </w:tcBorders>
            <w:noWrap w:val="0"/>
            <w:vAlign w:val="center"/>
          </w:tcPr>
          <w:p>
            <w:pPr>
              <w:widowControl w:val="0"/>
              <w:wordWrap/>
              <w:adjustRightInd/>
              <w:snapToGrid/>
              <w:spacing w:line="500" w:lineRule="exact"/>
              <w:jc w:val="center"/>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&gt;70</w:t>
            </w:r>
          </w:p>
        </w:tc>
        <w:tc>
          <w:tcPr>
            <w:tcW w:w="896"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预期性</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27" w:type="dxa"/>
            <w:vMerge w:val="continue"/>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宋体" w:hAnsi="宋体" w:eastAsia="宋体" w:cs="宋体"/>
                <w:color w:val="auto"/>
                <w:sz w:val="21"/>
                <w:szCs w:val="21"/>
                <w:highlight w:val="none"/>
                <w:u w:val="none"/>
              </w:rPr>
            </w:pPr>
          </w:p>
        </w:tc>
        <w:tc>
          <w:tcPr>
            <w:tcW w:w="3786" w:type="dxa"/>
            <w:tcBorders>
              <w:top w:val="single" w:color="000000" w:sz="8" w:space="0"/>
              <w:left w:val="single" w:color="000000" w:sz="8" w:space="0"/>
              <w:bottom w:val="single" w:color="000000" w:sz="8" w:space="0"/>
              <w:right w:val="single" w:color="000000" w:sz="8" w:space="0"/>
            </w:tcBorders>
            <w:noWrap w:val="0"/>
            <w:vAlign w:val="center"/>
          </w:tcPr>
          <w:p>
            <w:pPr>
              <w:widowControl w:val="0"/>
              <w:wordWrap/>
              <w:adjustRightInd/>
              <w:snapToGrid/>
              <w:spacing w:line="500" w:lineRule="exact"/>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住院费用省内直接结算率</w:t>
            </w:r>
          </w:p>
        </w:tc>
        <w:tc>
          <w:tcPr>
            <w:tcW w:w="720"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w:t>
            </w:r>
          </w:p>
        </w:tc>
        <w:tc>
          <w:tcPr>
            <w:tcW w:w="975"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w:t>
            </w:r>
          </w:p>
        </w:tc>
        <w:tc>
          <w:tcPr>
            <w:tcW w:w="2130" w:type="dxa"/>
            <w:tcBorders>
              <w:top w:val="single" w:color="000000" w:sz="8" w:space="0"/>
              <w:left w:val="single" w:color="000000" w:sz="8" w:space="0"/>
              <w:bottom w:val="single" w:color="000000" w:sz="8" w:space="0"/>
              <w:right w:val="single" w:color="000000" w:sz="8" w:space="0"/>
            </w:tcBorders>
            <w:noWrap w:val="0"/>
            <w:vAlign w:val="center"/>
          </w:tcPr>
          <w:p>
            <w:pPr>
              <w:widowControl w:val="0"/>
              <w:wordWrap/>
              <w:adjustRightInd/>
              <w:snapToGrid/>
              <w:spacing w:line="500" w:lineRule="exact"/>
              <w:jc w:val="center"/>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90</w:t>
            </w:r>
          </w:p>
        </w:tc>
        <w:tc>
          <w:tcPr>
            <w:tcW w:w="896"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预期性</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727" w:type="dxa"/>
            <w:vMerge w:val="continue"/>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宋体" w:hAnsi="宋体" w:eastAsia="宋体" w:cs="宋体"/>
                <w:color w:val="auto"/>
                <w:sz w:val="21"/>
                <w:szCs w:val="21"/>
                <w:highlight w:val="none"/>
                <w:u w:val="none"/>
              </w:rPr>
            </w:pPr>
          </w:p>
        </w:tc>
        <w:tc>
          <w:tcPr>
            <w:tcW w:w="3786" w:type="dxa"/>
            <w:tcBorders>
              <w:top w:val="single" w:color="000000" w:sz="8" w:space="0"/>
              <w:left w:val="single" w:color="000000" w:sz="8" w:space="0"/>
              <w:bottom w:val="single" w:color="000000" w:sz="8" w:space="0"/>
              <w:right w:val="single" w:color="000000" w:sz="8" w:space="0"/>
            </w:tcBorders>
            <w:noWrap w:val="0"/>
            <w:vAlign w:val="center"/>
          </w:tcPr>
          <w:p>
            <w:pPr>
              <w:widowControl w:val="0"/>
              <w:wordWrap/>
              <w:adjustRightInd/>
              <w:snapToGrid/>
              <w:spacing w:line="500" w:lineRule="exact"/>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医疗保障政务服务事项线上可</w:t>
            </w:r>
            <w:r>
              <w:rPr>
                <w:rFonts w:hint="eastAsia" w:ascii="仿宋_GB2312" w:hAnsi="仿宋_GB2312" w:eastAsia="仿宋_GB2312" w:cs="仿宋_GB2312"/>
                <w:color w:val="auto"/>
                <w:sz w:val="21"/>
                <w:szCs w:val="21"/>
                <w:highlight w:val="none"/>
                <w:u w:val="none"/>
                <w:shd w:val="clear" w:color="auto" w:fill="auto"/>
              </w:rPr>
              <w:t>办</w:t>
            </w:r>
            <w:r>
              <w:rPr>
                <w:rFonts w:hint="eastAsia" w:ascii="仿宋_GB2312" w:hAnsi="仿宋_GB2312" w:eastAsia="仿宋_GB2312" w:cs="仿宋_GB2312"/>
                <w:color w:val="auto"/>
                <w:sz w:val="21"/>
                <w:szCs w:val="21"/>
                <w:highlight w:val="none"/>
                <w:u w:val="none"/>
              </w:rPr>
              <w:t>率</w:t>
            </w:r>
          </w:p>
        </w:tc>
        <w:tc>
          <w:tcPr>
            <w:tcW w:w="720"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w:t>
            </w:r>
          </w:p>
        </w:tc>
        <w:tc>
          <w:tcPr>
            <w:tcW w:w="975"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w:t>
            </w:r>
          </w:p>
        </w:tc>
        <w:tc>
          <w:tcPr>
            <w:tcW w:w="2130" w:type="dxa"/>
            <w:tcBorders>
              <w:top w:val="single" w:color="000000" w:sz="8" w:space="0"/>
              <w:left w:val="single" w:color="000000" w:sz="8" w:space="0"/>
              <w:bottom w:val="single" w:color="000000" w:sz="8" w:space="0"/>
              <w:right w:val="single" w:color="000000" w:sz="8" w:space="0"/>
            </w:tcBorders>
            <w:noWrap w:val="0"/>
            <w:vAlign w:val="center"/>
          </w:tcPr>
          <w:p>
            <w:pPr>
              <w:widowControl w:val="0"/>
              <w:wordWrap/>
              <w:adjustRightInd/>
              <w:snapToGrid/>
              <w:spacing w:line="500" w:lineRule="exact"/>
              <w:jc w:val="center"/>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80</w:t>
            </w:r>
          </w:p>
        </w:tc>
        <w:tc>
          <w:tcPr>
            <w:tcW w:w="896"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预期性</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727" w:type="dxa"/>
            <w:vMerge w:val="continue"/>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宋体" w:hAnsi="宋体" w:eastAsia="宋体" w:cs="宋体"/>
                <w:color w:val="auto"/>
                <w:sz w:val="21"/>
                <w:szCs w:val="21"/>
                <w:highlight w:val="none"/>
                <w:u w:val="none"/>
              </w:rPr>
            </w:pPr>
          </w:p>
        </w:tc>
        <w:tc>
          <w:tcPr>
            <w:tcW w:w="3786" w:type="dxa"/>
            <w:tcBorders>
              <w:top w:val="single" w:color="000000" w:sz="8" w:space="0"/>
              <w:left w:val="single" w:color="000000" w:sz="8" w:space="0"/>
              <w:bottom w:val="single" w:color="000000" w:sz="8" w:space="0"/>
              <w:right w:val="single" w:color="000000" w:sz="8" w:space="0"/>
            </w:tcBorders>
            <w:noWrap w:val="0"/>
            <w:vAlign w:val="center"/>
          </w:tcPr>
          <w:p>
            <w:pPr>
              <w:widowControl w:val="0"/>
              <w:wordWrap/>
              <w:adjustRightInd/>
              <w:snapToGrid/>
              <w:spacing w:line="500" w:lineRule="exact"/>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医疗保障政务服务事项窗口可</w:t>
            </w:r>
            <w:r>
              <w:rPr>
                <w:rFonts w:hint="eastAsia" w:ascii="仿宋_GB2312" w:hAnsi="仿宋_GB2312" w:eastAsia="仿宋_GB2312" w:cs="仿宋_GB2312"/>
                <w:color w:val="auto"/>
                <w:sz w:val="21"/>
                <w:szCs w:val="21"/>
                <w:highlight w:val="none"/>
                <w:u w:val="none"/>
                <w:shd w:val="clear" w:color="auto" w:fill="auto"/>
              </w:rPr>
              <w:t>办</w:t>
            </w:r>
            <w:r>
              <w:rPr>
                <w:rFonts w:hint="eastAsia" w:ascii="仿宋_GB2312" w:hAnsi="仿宋_GB2312" w:eastAsia="仿宋_GB2312" w:cs="仿宋_GB2312"/>
                <w:color w:val="auto"/>
                <w:sz w:val="21"/>
                <w:szCs w:val="21"/>
                <w:highlight w:val="none"/>
                <w:u w:val="none"/>
              </w:rPr>
              <w:t>率</w:t>
            </w:r>
          </w:p>
        </w:tc>
        <w:tc>
          <w:tcPr>
            <w:tcW w:w="720"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w:t>
            </w:r>
          </w:p>
        </w:tc>
        <w:tc>
          <w:tcPr>
            <w:tcW w:w="975"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w:t>
            </w:r>
          </w:p>
        </w:tc>
        <w:tc>
          <w:tcPr>
            <w:tcW w:w="2130" w:type="dxa"/>
            <w:tcBorders>
              <w:top w:val="single" w:color="000000" w:sz="8" w:space="0"/>
              <w:left w:val="single" w:color="000000" w:sz="8" w:space="0"/>
              <w:bottom w:val="single" w:color="000000" w:sz="8" w:space="0"/>
              <w:right w:val="single" w:color="000000" w:sz="8" w:space="0"/>
            </w:tcBorders>
            <w:noWrap w:val="0"/>
            <w:vAlign w:val="center"/>
          </w:tcPr>
          <w:p>
            <w:pPr>
              <w:widowControl w:val="0"/>
              <w:wordWrap/>
              <w:adjustRightInd/>
              <w:snapToGrid/>
              <w:spacing w:line="500" w:lineRule="exact"/>
              <w:jc w:val="center"/>
              <w:textAlignment w:val="auto"/>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100</w:t>
            </w:r>
          </w:p>
        </w:tc>
        <w:tc>
          <w:tcPr>
            <w:tcW w:w="896" w:type="dxa"/>
            <w:tcBorders>
              <w:top w:val="single" w:color="000000" w:sz="8" w:space="0"/>
              <w:left w:val="single" w:color="000000" w:sz="8" w:space="0"/>
              <w:bottom w:val="single" w:color="000000" w:sz="8" w:space="0"/>
              <w:right w:val="single" w:color="000000" w:sz="8" w:space="0"/>
            </w:tcBorders>
            <w:noWrap w:val="0"/>
            <w:vAlign w:val="center"/>
          </w:tcPr>
          <w:p>
            <w:pPr>
              <w:spacing w:line="500" w:lineRule="exact"/>
              <w:jc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约束性</w:t>
            </w:r>
          </w:p>
        </w:tc>
      </w:tr>
    </w:tbl>
    <w:p>
      <w:pPr>
        <w:widowControl/>
        <w:pBdr>
          <w:top w:val="none" w:color="auto" w:sz="0" w:space="0"/>
          <w:left w:val="none" w:color="auto" w:sz="0" w:space="0"/>
          <w:bottom w:val="none" w:color="auto" w:sz="0" w:space="0"/>
          <w:right w:val="none" w:color="auto" w:sz="0" w:space="0"/>
        </w:pBdr>
        <w:shd w:val="clear" w:color="060000" w:fill="auto"/>
        <w:wordWrap/>
        <w:adjustRightInd/>
        <w:snapToGrid/>
        <w:spacing w:before="0" w:beforeLines="0" w:beforeAutospacing="0" w:after="0" w:afterLines="0" w:afterAutospacing="0" w:line="500" w:lineRule="exact"/>
        <w:ind w:left="0" w:right="0" w:firstLine="420" w:firstLineChars="200"/>
        <w:jc w:val="both"/>
        <w:textAlignment w:val="auto"/>
        <w:rPr>
          <w:rFonts w:hint="eastAsia" w:ascii="仿宋_GB2312" w:hAnsi="仿宋_GB2312" w:eastAsia="仿宋_GB2312" w:cs="仿宋_GB2312"/>
          <w:i w:val="0"/>
          <w:caps w:val="0"/>
          <w:color w:val="auto"/>
          <w:spacing w:val="0"/>
          <w:kern w:val="2"/>
          <w:sz w:val="21"/>
          <w:szCs w:val="21"/>
          <w:highlight w:val="none"/>
          <w:u w:val="none"/>
          <w:shd w:val="clear" w:color="0A0000" w:fill="auto"/>
          <w:lang w:val="en-US" w:eastAsia="zh-CN"/>
        </w:rPr>
      </w:pPr>
      <w:r>
        <w:rPr>
          <w:rFonts w:hint="eastAsia" w:ascii="仿宋_GB2312" w:hAnsi="仿宋_GB2312" w:eastAsia="仿宋_GB2312" w:cs="仿宋_GB2312"/>
          <w:i w:val="0"/>
          <w:caps w:val="0"/>
          <w:color w:val="auto"/>
          <w:spacing w:val="0"/>
          <w:kern w:val="2"/>
          <w:sz w:val="21"/>
          <w:szCs w:val="21"/>
          <w:highlight w:val="none"/>
          <w:u w:val="none"/>
          <w:shd w:val="clear" w:color="0A0000" w:fill="auto"/>
          <w:lang w:val="en-US" w:eastAsia="zh-CN"/>
        </w:rPr>
        <w:t>注：①</w:t>
      </w:r>
      <w:r>
        <w:rPr>
          <w:rFonts w:hint="eastAsia" w:ascii="仿宋_GB2312" w:hAnsi="仿宋_GB2312" w:cs="仿宋_GB2312"/>
          <w:i w:val="0"/>
          <w:caps w:val="0"/>
          <w:color w:val="auto"/>
          <w:spacing w:val="0"/>
          <w:kern w:val="2"/>
          <w:sz w:val="21"/>
          <w:szCs w:val="21"/>
          <w:highlight w:val="none"/>
          <w:u w:val="none"/>
          <w:shd w:val="clear" w:color="0A0000" w:fill="auto"/>
          <w:lang w:val="en-US" w:eastAsia="zh-CN"/>
        </w:rPr>
        <w:t>“</w:t>
      </w:r>
      <w:r>
        <w:rPr>
          <w:rFonts w:hint="eastAsia" w:ascii="仿宋_GB2312" w:hAnsi="仿宋_GB2312" w:eastAsia="仿宋_GB2312" w:cs="仿宋_GB2312"/>
          <w:color w:val="auto"/>
          <w:sz w:val="21"/>
          <w:szCs w:val="21"/>
          <w:highlight w:val="none"/>
          <w:u w:val="none"/>
          <w:shd w:val="clear" w:color="060000" w:fill="auto"/>
        </w:rPr>
        <w:t>基本医疗保险参保率&gt;9</w:t>
      </w:r>
      <w:r>
        <w:rPr>
          <w:rFonts w:hint="eastAsia" w:ascii="仿宋_GB2312" w:hAnsi="仿宋_GB2312" w:eastAsia="仿宋_GB2312" w:cs="仿宋_GB2312"/>
          <w:color w:val="auto"/>
          <w:sz w:val="21"/>
          <w:szCs w:val="21"/>
          <w:highlight w:val="none"/>
          <w:u w:val="none"/>
          <w:shd w:val="clear" w:color="060000" w:fill="auto"/>
          <w:lang w:val="en-US" w:eastAsia="zh-CN"/>
        </w:rPr>
        <w:t>8</w:t>
      </w:r>
      <w:r>
        <w:rPr>
          <w:rFonts w:hint="eastAsia" w:ascii="仿宋_GB2312" w:hAnsi="仿宋_GB2312" w:cs="仿宋_GB2312"/>
          <w:i w:val="0"/>
          <w:caps w:val="0"/>
          <w:color w:val="auto"/>
          <w:spacing w:val="0"/>
          <w:kern w:val="2"/>
          <w:sz w:val="21"/>
          <w:szCs w:val="21"/>
          <w:highlight w:val="none"/>
          <w:u w:val="none"/>
          <w:shd w:val="clear" w:color="0A0000" w:fill="auto"/>
          <w:lang w:val="en-US" w:eastAsia="zh-CN"/>
        </w:rPr>
        <w:t>”</w:t>
      </w:r>
      <w:r>
        <w:rPr>
          <w:rFonts w:hint="eastAsia" w:ascii="仿宋_GB2312" w:hAnsi="仿宋_GB2312" w:eastAsia="仿宋_GB2312" w:cs="仿宋_GB2312"/>
          <w:i w:val="0"/>
          <w:caps w:val="0"/>
          <w:color w:val="auto"/>
          <w:spacing w:val="0"/>
          <w:kern w:val="2"/>
          <w:sz w:val="21"/>
          <w:szCs w:val="21"/>
          <w:highlight w:val="none"/>
          <w:u w:val="none"/>
          <w:shd w:val="clear" w:color="0A0000" w:fill="auto"/>
          <w:lang w:val="en-US" w:eastAsia="zh-CN"/>
        </w:rPr>
        <w:t>，是</w:t>
      </w:r>
      <w:r>
        <w:rPr>
          <w:rFonts w:hint="eastAsia" w:ascii="仿宋_GB2312" w:hAnsi="仿宋_GB2312" w:eastAsia="仿宋_GB2312" w:cs="仿宋_GB2312"/>
          <w:color w:val="auto"/>
          <w:sz w:val="21"/>
          <w:szCs w:val="21"/>
          <w:highlight w:val="none"/>
          <w:u w:val="none"/>
          <w:shd w:val="clear" w:color="060000" w:fill="auto"/>
          <w:lang w:val="en-US" w:eastAsia="zh-CN"/>
        </w:rPr>
        <w:t>《茂名市国民经济和社会发展第十四个五年规划和2035年远景目标纲要》（</w:t>
      </w:r>
      <w:r>
        <w:rPr>
          <w:rFonts w:hint="eastAsia" w:ascii="仿宋_GB2312" w:hAnsi="仿宋_GB2312" w:eastAsia="仿宋_GB2312" w:cs="仿宋_GB2312"/>
          <w:color w:val="auto"/>
          <w:sz w:val="21"/>
          <w:szCs w:val="21"/>
          <w:highlight w:val="none"/>
          <w:u w:val="none"/>
          <w:shd w:val="clear" w:color="auto" w:fill="auto"/>
          <w:lang w:val="en-US" w:eastAsia="zh-CN"/>
        </w:rPr>
        <w:t>茂府</w:t>
      </w:r>
      <w:r>
        <w:rPr>
          <w:rFonts w:hint="eastAsia" w:ascii="仿宋_GB2312" w:hAnsi="仿宋_GB2312" w:eastAsia="仿宋_GB2312" w:cs="仿宋_GB2312"/>
          <w:color w:val="auto"/>
          <w:sz w:val="21"/>
          <w:szCs w:val="21"/>
          <w:highlight w:val="none"/>
          <w:u w:val="none"/>
          <w:shd w:val="clear" w:color="060000" w:fill="auto"/>
          <w:lang w:val="en-US" w:eastAsia="zh-CN"/>
        </w:rPr>
        <w:t>〔2021〕42号）的指标值 ，现按照《国务院办公厅关于印发</w:t>
      </w:r>
      <w:r>
        <w:rPr>
          <w:rFonts w:hint="eastAsia" w:ascii="仿宋_GB2312" w:hAnsi="仿宋_GB2312" w:cs="仿宋_GB2312"/>
          <w:color w:val="auto"/>
          <w:sz w:val="21"/>
          <w:szCs w:val="21"/>
          <w:highlight w:val="none"/>
          <w:u w:val="none"/>
          <w:shd w:val="clear" w:color="060000" w:fill="auto"/>
          <w:lang w:val="en-US" w:eastAsia="zh-CN"/>
        </w:rPr>
        <w:t>“</w:t>
      </w:r>
      <w:r>
        <w:rPr>
          <w:rFonts w:hint="eastAsia" w:ascii="仿宋_GB2312" w:hAnsi="仿宋_GB2312" w:eastAsia="仿宋_GB2312" w:cs="仿宋_GB2312"/>
          <w:color w:val="auto"/>
          <w:sz w:val="21"/>
          <w:szCs w:val="21"/>
          <w:highlight w:val="none"/>
          <w:u w:val="none"/>
          <w:shd w:val="clear" w:color="060000" w:fill="auto"/>
          <w:lang w:val="en-US" w:eastAsia="zh-CN"/>
        </w:rPr>
        <w:t>十四五</w:t>
      </w:r>
      <w:r>
        <w:rPr>
          <w:rFonts w:hint="eastAsia" w:ascii="仿宋_GB2312" w:hAnsi="仿宋_GB2312" w:cs="仿宋_GB2312"/>
          <w:color w:val="auto"/>
          <w:sz w:val="21"/>
          <w:szCs w:val="21"/>
          <w:highlight w:val="none"/>
          <w:u w:val="none"/>
          <w:shd w:val="clear" w:color="060000" w:fill="auto"/>
          <w:lang w:val="en-US" w:eastAsia="zh-CN"/>
        </w:rPr>
        <w:t>”</w:t>
      </w:r>
      <w:r>
        <w:rPr>
          <w:rFonts w:hint="eastAsia" w:ascii="仿宋_GB2312" w:hAnsi="仿宋_GB2312" w:eastAsia="仿宋_GB2312" w:cs="仿宋_GB2312"/>
          <w:color w:val="auto"/>
          <w:sz w:val="21"/>
          <w:szCs w:val="21"/>
          <w:highlight w:val="none"/>
          <w:u w:val="none"/>
          <w:shd w:val="clear" w:color="060000" w:fill="auto"/>
          <w:lang w:val="en-US" w:eastAsia="zh-CN"/>
        </w:rPr>
        <w:t>全民医疗保障规划的通知》（国办发〔2021〕36号）和《关于印发广东省</w:t>
      </w:r>
      <w:r>
        <w:rPr>
          <w:rFonts w:hint="eastAsia" w:ascii="仿宋_GB2312" w:hAnsi="仿宋_GB2312" w:cs="仿宋_GB2312"/>
          <w:color w:val="auto"/>
          <w:sz w:val="21"/>
          <w:szCs w:val="21"/>
          <w:highlight w:val="none"/>
          <w:u w:val="none"/>
          <w:shd w:val="clear" w:color="060000" w:fill="auto"/>
          <w:lang w:val="en-US" w:eastAsia="zh-CN"/>
        </w:rPr>
        <w:t>“</w:t>
      </w:r>
      <w:r>
        <w:rPr>
          <w:rFonts w:hint="eastAsia" w:ascii="仿宋_GB2312" w:hAnsi="仿宋_GB2312" w:eastAsia="仿宋_GB2312" w:cs="仿宋_GB2312"/>
          <w:color w:val="auto"/>
          <w:sz w:val="21"/>
          <w:szCs w:val="21"/>
          <w:highlight w:val="none"/>
          <w:u w:val="none"/>
          <w:shd w:val="clear" w:color="060000" w:fill="auto"/>
          <w:lang w:val="en-US" w:eastAsia="zh-CN"/>
        </w:rPr>
        <w:t>十四五</w:t>
      </w:r>
      <w:r>
        <w:rPr>
          <w:rFonts w:hint="eastAsia" w:ascii="仿宋_GB2312" w:hAnsi="仿宋_GB2312" w:cs="仿宋_GB2312"/>
          <w:color w:val="auto"/>
          <w:sz w:val="21"/>
          <w:szCs w:val="21"/>
          <w:highlight w:val="none"/>
          <w:u w:val="none"/>
          <w:shd w:val="clear" w:color="060000" w:fill="auto"/>
          <w:lang w:val="en-US" w:eastAsia="zh-CN"/>
        </w:rPr>
        <w:t>”</w:t>
      </w:r>
      <w:r>
        <w:rPr>
          <w:rFonts w:hint="eastAsia" w:ascii="仿宋_GB2312" w:hAnsi="仿宋_GB2312" w:eastAsia="仿宋_GB2312" w:cs="仿宋_GB2312"/>
          <w:color w:val="auto"/>
          <w:sz w:val="21"/>
          <w:szCs w:val="21"/>
          <w:highlight w:val="none"/>
          <w:u w:val="none"/>
          <w:shd w:val="clear" w:color="060000" w:fill="auto"/>
          <w:lang w:val="en-US" w:eastAsia="zh-CN"/>
        </w:rPr>
        <w:t>时期医疗保障事业高质量发展实施方案的通知》（</w:t>
      </w:r>
      <w:r>
        <w:rPr>
          <w:rFonts w:hint="eastAsia" w:ascii="仿宋_GB2312" w:hAnsi="仿宋_GB2312" w:eastAsia="仿宋_GB2312" w:cs="仿宋_GB2312"/>
          <w:color w:val="auto"/>
          <w:sz w:val="21"/>
          <w:szCs w:val="21"/>
          <w:highlight w:val="none"/>
          <w:u w:val="none"/>
          <w:shd w:val="clear" w:color="auto" w:fill="auto"/>
          <w:lang w:val="en-US" w:eastAsia="zh-CN"/>
        </w:rPr>
        <w:t>粤</w:t>
      </w:r>
      <w:r>
        <w:rPr>
          <w:rFonts w:hint="eastAsia" w:ascii="仿宋_GB2312" w:hAnsi="仿宋_GB2312" w:eastAsia="仿宋_GB2312" w:cs="仿宋_GB2312"/>
          <w:color w:val="auto"/>
          <w:sz w:val="21"/>
          <w:szCs w:val="21"/>
          <w:highlight w:val="none"/>
          <w:u w:val="none"/>
          <w:shd w:val="clear" w:color="060000" w:fill="auto"/>
          <w:lang w:val="en-US" w:eastAsia="zh-CN"/>
        </w:rPr>
        <w:t>医保发〔2021〕52号）调整为95%以上。</w:t>
      </w:r>
      <w:r>
        <w:rPr>
          <w:rFonts w:hint="eastAsia" w:ascii="仿宋_GB2312" w:hAnsi="仿宋_GB2312" w:eastAsia="仿宋_GB2312" w:cs="仿宋_GB2312"/>
          <w:i w:val="0"/>
          <w:caps w:val="0"/>
          <w:color w:val="auto"/>
          <w:spacing w:val="0"/>
          <w:kern w:val="2"/>
          <w:sz w:val="21"/>
          <w:szCs w:val="21"/>
          <w:highlight w:val="none"/>
          <w:u w:val="none"/>
          <w:shd w:val="clear" w:color="0A0000" w:fill="auto"/>
          <w:lang w:val="en-US" w:eastAsia="zh-CN"/>
        </w:rPr>
        <w:t>指</w:t>
      </w:r>
      <w:r>
        <w:rPr>
          <w:rFonts w:hint="eastAsia" w:ascii="仿宋_GB2312" w:hAnsi="仿宋_GB2312" w:cs="仿宋_GB2312"/>
          <w:i w:val="0"/>
          <w:caps w:val="0"/>
          <w:color w:val="auto"/>
          <w:spacing w:val="0"/>
          <w:kern w:val="2"/>
          <w:sz w:val="21"/>
          <w:szCs w:val="21"/>
          <w:highlight w:val="none"/>
          <w:u w:val="none"/>
          <w:shd w:val="clear" w:color="0A0000" w:fill="auto"/>
          <w:lang w:val="en-US" w:eastAsia="zh-CN"/>
        </w:rPr>
        <w:t>“</w:t>
      </w:r>
      <w:r>
        <w:rPr>
          <w:rFonts w:hint="eastAsia" w:ascii="仿宋_GB2312" w:hAnsi="仿宋_GB2312" w:eastAsia="仿宋_GB2312" w:cs="仿宋_GB2312"/>
          <w:i w:val="0"/>
          <w:caps w:val="0"/>
          <w:color w:val="auto"/>
          <w:spacing w:val="0"/>
          <w:kern w:val="2"/>
          <w:sz w:val="21"/>
          <w:szCs w:val="21"/>
          <w:highlight w:val="none"/>
          <w:u w:val="none"/>
          <w:shd w:val="clear" w:color="0A0000" w:fill="auto"/>
          <w:lang w:val="en-US" w:eastAsia="zh-CN"/>
        </w:rPr>
        <w:t>十四五</w:t>
      </w:r>
      <w:r>
        <w:rPr>
          <w:rFonts w:hint="eastAsia" w:ascii="仿宋_GB2312" w:hAnsi="仿宋_GB2312" w:cs="仿宋_GB2312"/>
          <w:i w:val="0"/>
          <w:caps w:val="0"/>
          <w:color w:val="auto"/>
          <w:spacing w:val="0"/>
          <w:kern w:val="2"/>
          <w:sz w:val="21"/>
          <w:szCs w:val="21"/>
          <w:highlight w:val="none"/>
          <w:u w:val="none"/>
          <w:shd w:val="clear" w:color="0A0000" w:fill="auto"/>
          <w:lang w:val="en-US" w:eastAsia="zh-CN"/>
        </w:rPr>
        <w:t>”</w:t>
      </w:r>
      <w:r>
        <w:rPr>
          <w:rFonts w:hint="eastAsia" w:ascii="仿宋_GB2312" w:hAnsi="仿宋_GB2312" w:eastAsia="仿宋_GB2312" w:cs="仿宋_GB2312"/>
          <w:i w:val="0"/>
          <w:caps w:val="0"/>
          <w:color w:val="auto"/>
          <w:spacing w:val="0"/>
          <w:kern w:val="2"/>
          <w:sz w:val="21"/>
          <w:szCs w:val="21"/>
          <w:highlight w:val="none"/>
          <w:u w:val="none"/>
          <w:shd w:val="clear" w:color="0A0000" w:fill="auto"/>
          <w:lang w:val="en-US" w:eastAsia="zh-CN"/>
        </w:rPr>
        <w:t>期间基本医疗保险参保率每年保持在95%以上。</w:t>
      </w:r>
    </w:p>
    <w:p>
      <w:pPr>
        <w:widowControl/>
        <w:pBdr>
          <w:top w:val="none" w:color="auto" w:sz="0" w:space="0"/>
          <w:left w:val="none" w:color="auto" w:sz="0" w:space="0"/>
          <w:bottom w:val="none" w:color="auto" w:sz="0" w:space="0"/>
          <w:right w:val="none" w:color="auto" w:sz="0" w:space="0"/>
        </w:pBdr>
        <w:shd w:val="clear" w:color="060000" w:fill="auto"/>
        <w:wordWrap/>
        <w:adjustRightInd/>
        <w:snapToGrid/>
        <w:spacing w:before="0" w:beforeLines="0" w:beforeAutospacing="0" w:after="0" w:afterLines="0" w:afterAutospacing="0" w:line="500" w:lineRule="exact"/>
        <w:ind w:left="0" w:right="0" w:firstLine="420" w:firstLineChars="200"/>
        <w:jc w:val="both"/>
        <w:textAlignment w:val="auto"/>
        <w:rPr>
          <w:rFonts w:hint="eastAsia" w:ascii="仿宋_GB2312" w:hAnsi="仿宋_GB2312" w:eastAsia="仿宋_GB2312" w:cs="仿宋_GB2312"/>
          <w:i w:val="0"/>
          <w:caps w:val="0"/>
          <w:color w:val="auto"/>
          <w:spacing w:val="0"/>
          <w:kern w:val="2"/>
          <w:sz w:val="21"/>
          <w:szCs w:val="21"/>
          <w:highlight w:val="none"/>
          <w:u w:val="none"/>
          <w:lang w:val="en-US" w:eastAsia="zh-CN"/>
        </w:rPr>
      </w:pPr>
      <w:r>
        <w:rPr>
          <w:rFonts w:hint="eastAsia" w:ascii="仿宋_GB2312" w:hAnsi="仿宋_GB2312" w:eastAsia="仿宋_GB2312" w:cs="仿宋_GB2312"/>
          <w:i w:val="0"/>
          <w:caps w:val="0"/>
          <w:color w:val="auto"/>
          <w:spacing w:val="0"/>
          <w:kern w:val="2"/>
          <w:sz w:val="21"/>
          <w:szCs w:val="21"/>
          <w:highlight w:val="none"/>
          <w:u w:val="none"/>
          <w:shd w:val="clear" w:color="0A0000" w:fill="auto"/>
          <w:lang w:val="en-US" w:eastAsia="zh-CN"/>
        </w:rPr>
        <w:t>②指到2025年药品集中带量采购品种达500个以上。 </w:t>
      </w:r>
    </w:p>
    <w:p>
      <w:pPr>
        <w:widowControl/>
        <w:pBdr>
          <w:top w:val="none" w:color="auto" w:sz="0" w:space="0"/>
          <w:left w:val="none" w:color="auto" w:sz="0" w:space="0"/>
          <w:bottom w:val="none" w:color="auto" w:sz="0" w:space="0"/>
          <w:right w:val="none" w:color="auto" w:sz="0" w:space="0"/>
        </w:pBdr>
        <w:shd w:val="clear" w:color="060000" w:fill="auto"/>
        <w:wordWrap/>
        <w:adjustRightInd/>
        <w:snapToGrid/>
        <w:spacing w:before="0" w:beforeLines="0" w:beforeAutospacing="0" w:after="0" w:afterLines="0" w:afterAutospacing="0" w:line="500" w:lineRule="exact"/>
        <w:ind w:left="0" w:right="0" w:firstLine="396" w:firstLineChars="200"/>
        <w:jc w:val="both"/>
        <w:textAlignment w:val="auto"/>
        <w:rPr>
          <w:rFonts w:hint="eastAsia" w:ascii="仿宋_GB2312" w:hAnsi="仿宋_GB2312" w:eastAsia="仿宋_GB2312" w:cs="仿宋_GB2312"/>
          <w:i w:val="0"/>
          <w:caps w:val="0"/>
          <w:color w:val="auto"/>
          <w:spacing w:val="-6"/>
          <w:kern w:val="2"/>
          <w:sz w:val="21"/>
          <w:szCs w:val="21"/>
          <w:highlight w:val="none"/>
          <w:u w:val="none"/>
          <w:lang w:val="en-US" w:eastAsia="zh-CN"/>
        </w:rPr>
      </w:pPr>
      <w:r>
        <w:rPr>
          <w:rFonts w:hint="eastAsia" w:ascii="仿宋_GB2312" w:hAnsi="仿宋_GB2312" w:eastAsia="仿宋_GB2312" w:cs="仿宋_GB2312"/>
          <w:i w:val="0"/>
          <w:caps w:val="0"/>
          <w:color w:val="auto"/>
          <w:spacing w:val="-6"/>
          <w:kern w:val="2"/>
          <w:sz w:val="21"/>
          <w:szCs w:val="21"/>
          <w:highlight w:val="none"/>
          <w:u w:val="none"/>
          <w:shd w:val="clear" w:color="0A0000" w:fill="auto"/>
          <w:lang w:val="en-US" w:eastAsia="zh-CN"/>
        </w:rPr>
        <w:t>③指到2025年高值医用耗材集中带量采购品种达8类以上。</w:t>
      </w:r>
    </w:p>
    <w:p>
      <w:pPr>
        <w:widowControl/>
        <w:pBdr>
          <w:top w:val="none" w:color="auto" w:sz="0" w:space="0"/>
          <w:left w:val="none" w:color="auto" w:sz="0" w:space="0"/>
          <w:bottom w:val="none" w:color="auto" w:sz="0" w:space="0"/>
          <w:right w:val="none" w:color="auto" w:sz="0" w:space="0"/>
        </w:pBdr>
        <w:shd w:val="clear" w:color="060000" w:fill="auto"/>
        <w:wordWrap/>
        <w:adjustRightInd/>
        <w:snapToGrid/>
        <w:spacing w:before="0" w:beforeLines="0" w:beforeAutospacing="0" w:after="0" w:afterLines="0" w:afterAutospacing="0" w:line="500" w:lineRule="exact"/>
        <w:ind w:left="0" w:right="0" w:firstLine="420" w:firstLineChars="200"/>
        <w:jc w:val="both"/>
        <w:textAlignment w:val="auto"/>
        <w:rPr>
          <w:rFonts w:hint="eastAsia" w:ascii="仿宋_GB2312" w:hAnsi="仿宋_GB2312" w:eastAsia="仿宋_GB2312" w:cs="仿宋_GB2312"/>
          <w:i w:val="0"/>
          <w:caps w:val="0"/>
          <w:color w:val="auto"/>
          <w:spacing w:val="0"/>
          <w:kern w:val="2"/>
          <w:sz w:val="21"/>
          <w:szCs w:val="21"/>
          <w:highlight w:val="none"/>
          <w:u w:val="none"/>
          <w:lang w:val="en-US" w:eastAsia="zh-CN"/>
        </w:rPr>
      </w:pPr>
      <w:r>
        <w:rPr>
          <w:rFonts w:hint="eastAsia" w:ascii="仿宋_GB2312" w:hAnsi="仿宋_GB2312" w:eastAsia="仿宋_GB2312" w:cs="仿宋_GB2312"/>
          <w:i w:val="0"/>
          <w:caps w:val="0"/>
          <w:color w:val="auto"/>
          <w:spacing w:val="0"/>
          <w:kern w:val="2"/>
          <w:sz w:val="21"/>
          <w:szCs w:val="21"/>
          <w:highlight w:val="none"/>
          <w:u w:val="none"/>
          <w:shd w:val="clear" w:color="0A0000" w:fill="auto"/>
          <w:lang w:val="en-US" w:eastAsia="zh-CN"/>
        </w:rPr>
        <w:t>④</w:t>
      </w:r>
      <w:r>
        <w:rPr>
          <w:rFonts w:hint="eastAsia" w:ascii="仿宋_GB2312" w:hAnsi="仿宋_GB2312" w:eastAsia="仿宋_GB2312" w:cs="仿宋_GB2312"/>
          <w:i w:val="0"/>
          <w:caps w:val="0"/>
          <w:color w:val="auto"/>
          <w:spacing w:val="0"/>
          <w:kern w:val="2"/>
          <w:sz w:val="21"/>
          <w:szCs w:val="21"/>
          <w:highlight w:val="none"/>
          <w:u w:val="none"/>
          <w:shd w:val="clear" w:color="auto" w:fill="auto"/>
          <w:lang w:val="en-US" w:eastAsia="zh-CN"/>
        </w:rPr>
        <w:t>指</w:t>
      </w:r>
      <w:r>
        <w:rPr>
          <w:rFonts w:hint="eastAsia" w:ascii="仿宋_GB2312" w:hAnsi="仿宋_GB2312" w:eastAsia="仿宋_GB2312" w:cs="仿宋_GB2312"/>
          <w:i w:val="0"/>
          <w:caps w:val="0"/>
          <w:color w:val="auto"/>
          <w:spacing w:val="0"/>
          <w:kern w:val="2"/>
          <w:sz w:val="21"/>
          <w:szCs w:val="21"/>
          <w:highlight w:val="none"/>
          <w:u w:val="none"/>
          <w:shd w:val="clear" w:color="0A0000" w:fill="auto"/>
          <w:lang w:val="en-US" w:eastAsia="zh-CN"/>
        </w:rPr>
        <w:t>住院费用跨省直接结算人次占全部住院跨省异地就医人次的比例。</w:t>
      </w:r>
    </w:p>
    <w:p>
      <w:pPr>
        <w:pStyle w:val="3"/>
        <w:numPr>
          <w:ilvl w:val="0"/>
          <w:numId w:val="1"/>
        </w:numPr>
        <w:spacing w:before="0" w:beforeLines="0" w:after="0" w:afterLines="0" w:line="600" w:lineRule="exact"/>
        <w:jc w:val="center"/>
        <w:outlineLvl w:val="0"/>
        <w:rPr>
          <w:rStyle w:val="15"/>
          <w:rFonts w:hint="default" w:ascii="Times New Roman" w:hAnsi="Times New Roman" w:eastAsia="方正小标宋简体" w:cs="Times New Roman"/>
          <w:b w:val="0"/>
          <w:color w:val="auto"/>
          <w:sz w:val="36"/>
          <w:szCs w:val="36"/>
          <w:highlight w:val="none"/>
          <w:u w:val="none"/>
        </w:rPr>
      </w:pPr>
      <w:r>
        <w:rPr>
          <w:rStyle w:val="15"/>
          <w:rFonts w:hint="default" w:ascii="Times New Roman" w:hAnsi="Times New Roman" w:eastAsia="方正小标宋简体" w:cs="Times New Roman"/>
          <w:b w:val="0"/>
          <w:color w:val="auto"/>
          <w:sz w:val="36"/>
          <w:szCs w:val="36"/>
          <w:highlight w:val="none"/>
          <w:u w:val="none"/>
        </w:rPr>
        <w:t xml:space="preserve">  完善待遇保障机制</w:t>
      </w:r>
    </w:p>
    <w:p>
      <w:pPr>
        <w:pStyle w:val="3"/>
        <w:numPr>
          <w:ilvl w:val="0"/>
          <w:numId w:val="0"/>
        </w:numPr>
        <w:spacing w:before="0" w:beforeLines="0" w:after="0" w:afterLines="0" w:line="600" w:lineRule="exact"/>
        <w:jc w:val="both"/>
        <w:outlineLvl w:val="0"/>
        <w:rPr>
          <w:rStyle w:val="15"/>
          <w:rFonts w:hint="default" w:ascii="Times New Roman" w:hAnsi="Times New Roman" w:eastAsia="方正小标宋简体" w:cs="Times New Roman"/>
          <w:b w:val="0"/>
          <w:color w:val="auto"/>
          <w:sz w:val="36"/>
          <w:szCs w:val="36"/>
          <w:highlight w:val="none"/>
          <w:u w:val="none"/>
        </w:rPr>
      </w:pPr>
    </w:p>
    <w:p>
      <w:pPr>
        <w:pStyle w:val="4"/>
        <w:numPr>
          <w:ilvl w:val="0"/>
          <w:numId w:val="2"/>
        </w:numPr>
        <w:spacing w:before="0" w:beforeLines="0" w:after="0" w:afterLines="0" w:line="600" w:lineRule="exact"/>
        <w:jc w:val="center"/>
        <w:outlineLvl w:val="1"/>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完善基本医疗保险制度</w:t>
      </w:r>
    </w:p>
    <w:p>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Cs/>
          <w:color w:val="auto"/>
          <w:sz w:val="32"/>
          <w:szCs w:val="32"/>
          <w:highlight w:val="none"/>
          <w:u w:val="none"/>
        </w:rPr>
        <w:t>完善覆盖全民、依法参加的基</w:t>
      </w:r>
      <w:r>
        <w:rPr>
          <w:rFonts w:hint="eastAsia" w:ascii="仿宋_GB2312" w:hAnsi="仿宋_GB2312" w:eastAsia="仿宋_GB2312" w:cs="仿宋_GB2312"/>
          <w:bCs/>
          <w:color w:val="auto"/>
          <w:sz w:val="32"/>
          <w:szCs w:val="32"/>
          <w:highlight w:val="none"/>
          <w:u w:val="none"/>
        </w:rPr>
        <w:t>本医疗保险制度和政策体系。</w:t>
      </w:r>
      <w:r>
        <w:rPr>
          <w:rFonts w:hint="eastAsia" w:ascii="仿宋_GB2312" w:hAnsi="仿宋_GB2312" w:eastAsia="仿宋_GB2312" w:cs="仿宋_GB2312"/>
          <w:color w:val="auto"/>
          <w:sz w:val="32"/>
          <w:szCs w:val="32"/>
          <w:highlight w:val="none"/>
          <w:u w:val="none"/>
          <w:lang w:val="zh-TW"/>
        </w:rPr>
        <w:t>深入实施全民参保计划，确保参保率稳定在</w:t>
      </w:r>
      <w:r>
        <w:rPr>
          <w:rFonts w:hint="eastAsia" w:ascii="仿宋_GB2312" w:hAnsi="仿宋_GB2312" w:eastAsia="仿宋_GB2312" w:cs="仿宋_GB2312"/>
          <w:color w:val="auto"/>
          <w:sz w:val="32"/>
          <w:szCs w:val="32"/>
          <w:highlight w:val="none"/>
          <w:u w:val="none"/>
          <w:lang w:val="en-US" w:eastAsia="zh-CN"/>
        </w:rPr>
        <w:t>98</w:t>
      </w:r>
      <w:r>
        <w:rPr>
          <w:rFonts w:hint="eastAsia" w:ascii="仿宋_GB2312" w:hAnsi="仿宋_GB2312" w:eastAsia="仿宋_GB2312" w:cs="仿宋_GB2312"/>
          <w:color w:val="auto"/>
          <w:sz w:val="32"/>
          <w:szCs w:val="32"/>
          <w:highlight w:val="none"/>
          <w:u w:val="none"/>
          <w:lang w:val="zh-TW"/>
        </w:rPr>
        <w:t>%</w:t>
      </w:r>
      <w:r>
        <w:rPr>
          <w:rStyle w:val="16"/>
          <w:rFonts w:hint="eastAsia" w:ascii="仿宋_GB2312" w:hAnsi="仿宋_GB2312" w:eastAsia="仿宋_GB2312" w:cs="仿宋_GB2312"/>
          <w:color w:val="auto"/>
          <w:sz w:val="32"/>
          <w:szCs w:val="32"/>
          <w:highlight w:val="none"/>
          <w:u w:val="none"/>
          <w:lang w:val="zh-TW"/>
        </w:rPr>
        <w:footnoteReference w:id="1"/>
      </w:r>
      <w:r>
        <w:rPr>
          <w:rFonts w:hint="eastAsia" w:ascii="仿宋_GB2312" w:hAnsi="仿宋_GB2312" w:eastAsia="仿宋_GB2312" w:cs="仿宋_GB2312"/>
          <w:color w:val="auto"/>
          <w:sz w:val="32"/>
          <w:szCs w:val="32"/>
          <w:highlight w:val="none"/>
          <w:u w:val="none"/>
          <w:lang w:val="zh-TW"/>
        </w:rPr>
        <w:t>以上</w:t>
      </w:r>
      <w:r>
        <w:rPr>
          <w:rFonts w:hint="eastAsia" w:ascii="仿宋_GB2312" w:hAnsi="仿宋_GB2312" w:eastAsia="仿宋_GB2312" w:cs="仿宋_GB2312"/>
          <w:color w:val="auto"/>
          <w:sz w:val="32"/>
          <w:szCs w:val="32"/>
          <w:highlight w:val="none"/>
          <w:u w:val="none"/>
        </w:rPr>
        <w:t>，巩固和稳定职工和居民</w:t>
      </w:r>
      <w:r>
        <w:rPr>
          <w:rFonts w:hint="eastAsia" w:ascii="仿宋_GB2312" w:hAnsi="仿宋_GB2312" w:eastAsia="仿宋_GB2312" w:cs="仿宋_GB2312"/>
          <w:color w:val="auto"/>
          <w:sz w:val="32"/>
          <w:szCs w:val="32"/>
          <w:highlight w:val="none"/>
          <w:u w:val="none"/>
          <w:lang w:eastAsia="zh-CN"/>
        </w:rPr>
        <w:t>医疗保障待遇</w:t>
      </w:r>
      <w:r>
        <w:rPr>
          <w:rFonts w:hint="eastAsia" w:ascii="仿宋_GB2312" w:hAnsi="仿宋_GB2312" w:eastAsia="仿宋_GB2312" w:cs="仿宋_GB2312"/>
          <w:color w:val="auto"/>
          <w:sz w:val="32"/>
          <w:szCs w:val="32"/>
          <w:highlight w:val="none"/>
          <w:u w:val="none"/>
        </w:rPr>
        <w:t>，适当提升重点参保群体的保障水</w:t>
      </w:r>
      <w:r>
        <w:rPr>
          <w:rFonts w:hint="default" w:ascii="Times New Roman" w:hAnsi="Times New Roman" w:eastAsia="仿宋_GB2312" w:cs="Times New Roman"/>
          <w:color w:val="auto"/>
          <w:sz w:val="32"/>
          <w:szCs w:val="32"/>
          <w:highlight w:val="none"/>
          <w:u w:val="none"/>
        </w:rPr>
        <w:t>平。</w:t>
      </w:r>
      <w:r>
        <w:rPr>
          <w:rFonts w:hint="default" w:ascii="Times New Roman" w:hAnsi="Times New Roman" w:eastAsia="仿宋_GB2312" w:cs="Times New Roman"/>
          <w:color w:val="auto"/>
          <w:sz w:val="32"/>
          <w:szCs w:val="32"/>
          <w:highlight w:val="none"/>
          <w:u w:val="none"/>
          <w:lang w:val="zh-TW"/>
        </w:rPr>
        <w:t>按照国家和省的部署要求，逐步实现参保信息互联互通、动态更新、实时查询，</w:t>
      </w:r>
      <w:r>
        <w:rPr>
          <w:rFonts w:hint="default" w:ascii="Times New Roman" w:hAnsi="Times New Roman" w:eastAsia="仿宋_GB2312" w:cs="Times New Roman"/>
          <w:color w:val="auto"/>
          <w:sz w:val="32"/>
          <w:szCs w:val="32"/>
          <w:highlight w:val="none"/>
          <w:u w:val="none"/>
        </w:rPr>
        <w:t>确保</w:t>
      </w:r>
      <w:r>
        <w:rPr>
          <w:rFonts w:hint="default" w:ascii="Times New Roman" w:hAnsi="Times New Roman" w:eastAsia="仿宋_GB2312" w:cs="Times New Roman"/>
          <w:color w:val="auto"/>
          <w:sz w:val="32"/>
          <w:szCs w:val="32"/>
          <w:highlight w:val="none"/>
          <w:u w:val="none"/>
          <w:lang w:val="zh-TW"/>
        </w:rPr>
        <w:t>基本医保参保率稳中有升</w:t>
      </w:r>
      <w:r>
        <w:rPr>
          <w:rFonts w:hint="default" w:ascii="Times New Roman" w:hAnsi="Times New Roman" w:eastAsia="仿宋_GB2312" w:cs="Times New Roman"/>
          <w:color w:val="auto"/>
          <w:sz w:val="32"/>
          <w:szCs w:val="32"/>
          <w:highlight w:val="none"/>
          <w:u w:val="none"/>
        </w:rPr>
        <w:t>。</w:t>
      </w:r>
    </w:p>
    <w:p>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Cs/>
          <w:color w:val="auto"/>
          <w:sz w:val="32"/>
          <w:szCs w:val="32"/>
          <w:highlight w:val="none"/>
          <w:u w:val="none"/>
        </w:rPr>
        <w:t>落实医疗保障待遇清单制度。</w:t>
      </w:r>
      <w:r>
        <w:rPr>
          <w:rFonts w:hint="default" w:ascii="Times New Roman" w:hAnsi="Times New Roman" w:eastAsia="仿宋_GB2312" w:cs="Times New Roman"/>
          <w:color w:val="auto"/>
          <w:sz w:val="32"/>
          <w:szCs w:val="32"/>
          <w:highlight w:val="none"/>
          <w:u w:val="none"/>
        </w:rPr>
        <w:t>严格按照国家</w:t>
      </w:r>
      <w:r>
        <w:rPr>
          <w:rFonts w:hint="default" w:ascii="Times New Roman" w:hAnsi="Times New Roman" w:eastAsia="仿宋_GB2312" w:cs="Times New Roman"/>
          <w:color w:val="auto"/>
          <w:sz w:val="32"/>
          <w:szCs w:val="32"/>
          <w:highlight w:val="none"/>
          <w:u w:val="none"/>
          <w:lang w:eastAsia="zh-CN"/>
        </w:rPr>
        <w:t>和省</w:t>
      </w:r>
      <w:r>
        <w:rPr>
          <w:rFonts w:hint="default" w:ascii="Times New Roman" w:hAnsi="Times New Roman" w:eastAsia="仿宋_GB2312" w:cs="Times New Roman"/>
          <w:color w:val="auto"/>
          <w:sz w:val="32"/>
          <w:szCs w:val="32"/>
          <w:highlight w:val="none"/>
          <w:u w:val="none"/>
        </w:rPr>
        <w:t>的要求贯彻落实医疗保障待遇清单管理制度。结合茂名市实际情况调整医疗保障待遇制度清单</w:t>
      </w:r>
      <w:r>
        <w:rPr>
          <w:rFonts w:hint="default" w:ascii="Times New Roman" w:hAnsi="Times New Roman" w:eastAsia="仿宋_GB2312" w:cs="Times New Roman"/>
          <w:color w:val="auto"/>
          <w:sz w:val="32"/>
          <w:szCs w:val="32"/>
          <w:highlight w:val="none"/>
          <w:u w:val="none"/>
          <w:shd w:val="clear" w:color="auto" w:fill="auto"/>
        </w:rPr>
        <w:t>涉及到的</w:t>
      </w:r>
      <w:r>
        <w:rPr>
          <w:rFonts w:hint="default" w:ascii="Times New Roman" w:hAnsi="Times New Roman" w:eastAsia="仿宋_GB2312" w:cs="Times New Roman"/>
          <w:color w:val="auto"/>
          <w:sz w:val="32"/>
          <w:szCs w:val="32"/>
          <w:highlight w:val="none"/>
          <w:u w:val="none"/>
        </w:rPr>
        <w:t>基本医疗保障、基本政策、基金支付的项目和标准，对统筹基金不予支付的范围进行清查。对现有制度中与待遇清单和国家相关政策衔接不畅的政策进行调整。对现有特定人群的保障政策，逐步归并到国家统一的政策框架中。</w:t>
      </w:r>
    </w:p>
    <w:p>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建立健全门诊共济保障机制。根据国家和省的部署，增强统筹基金对门诊医疗费用的保障能力，改革职工基本医疗保险个人账户，建立健全门诊共济保障机制。进一步拓宽</w:t>
      </w:r>
      <w:r>
        <w:rPr>
          <w:rFonts w:hint="eastAsia" w:ascii="Times New Roman" w:hAnsi="Times New Roman" w:eastAsia="仿宋_GB2312" w:cs="Times New Roman"/>
          <w:color w:val="auto"/>
          <w:sz w:val="32"/>
          <w:szCs w:val="32"/>
          <w:highlight w:val="none"/>
          <w:u w:val="none"/>
          <w:lang w:eastAsia="zh-CN"/>
        </w:rPr>
        <w:t>门诊特定病种</w:t>
      </w:r>
      <w:r>
        <w:rPr>
          <w:rFonts w:hint="eastAsia" w:ascii="Times New Roman" w:hAnsi="Times New Roman"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一站式</w:t>
      </w:r>
      <w:r>
        <w:rPr>
          <w:rFonts w:hint="eastAsia" w:ascii="Times New Roman" w:hAnsi="Times New Roman"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结算服务渠道，扩展联网定点医药机构</w:t>
      </w:r>
      <w:r>
        <w:rPr>
          <w:rFonts w:hint="default" w:ascii="Times New Roman" w:hAnsi="Times New Roman" w:eastAsia="仿宋_GB2312" w:cs="Times New Roman"/>
          <w:color w:val="auto"/>
          <w:sz w:val="32"/>
          <w:szCs w:val="32"/>
          <w:highlight w:val="none"/>
          <w:u w:val="none"/>
          <w:lang w:eastAsia="zh-CN"/>
        </w:rPr>
        <w:t>范围</w:t>
      </w:r>
      <w:r>
        <w:rPr>
          <w:rFonts w:hint="default" w:ascii="Times New Roman" w:hAnsi="Times New Roman" w:eastAsia="仿宋_GB2312" w:cs="Times New Roman"/>
          <w:color w:val="auto"/>
          <w:sz w:val="32"/>
          <w:szCs w:val="32"/>
          <w:highlight w:val="none"/>
          <w:u w:val="none"/>
        </w:rPr>
        <w:t>。</w:t>
      </w:r>
    </w:p>
    <w:p>
      <w:pPr>
        <w:spacing w:line="600" w:lineRule="exact"/>
        <w:ind w:firstLine="640" w:firstLineChars="200"/>
        <w:rPr>
          <w:rFonts w:hint="default" w:ascii="Times New Roman" w:hAnsi="Times New Roman" w:eastAsia="仿宋_GB2312" w:cs="Times New Roman"/>
          <w:color w:val="auto"/>
          <w:sz w:val="32"/>
          <w:szCs w:val="32"/>
          <w:highlight w:val="none"/>
          <w:u w:val="none"/>
        </w:rPr>
      </w:pPr>
    </w:p>
    <w:p>
      <w:pPr>
        <w:pStyle w:val="4"/>
        <w:numPr>
          <w:ilvl w:val="0"/>
          <w:numId w:val="2"/>
        </w:numPr>
        <w:spacing w:before="0" w:beforeLines="0" w:after="0" w:afterLines="0" w:line="600" w:lineRule="exact"/>
        <w:jc w:val="center"/>
        <w:outlineLvl w:val="1"/>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完善多层次医疗保障体系</w:t>
      </w:r>
    </w:p>
    <w:p>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Cs/>
          <w:color w:val="auto"/>
          <w:sz w:val="32"/>
          <w:szCs w:val="32"/>
          <w:highlight w:val="none"/>
          <w:u w:val="none"/>
        </w:rPr>
        <w:t>加强多层次医疗保障体系建设，明确不同医疗保障层次的功能定位和比例结构。</w:t>
      </w:r>
      <w:r>
        <w:rPr>
          <w:rFonts w:hint="default" w:ascii="Times New Roman" w:hAnsi="Times New Roman" w:eastAsia="仿宋_GB2312" w:cs="Times New Roman"/>
          <w:color w:val="auto"/>
          <w:sz w:val="32"/>
          <w:szCs w:val="32"/>
          <w:highlight w:val="none"/>
          <w:u w:val="none"/>
        </w:rPr>
        <w:t>明确法定医疗保障的责任，强化基本医疗保险、大病保险、医疗救助三重法定医疗保障制度的衔接。</w:t>
      </w:r>
    </w:p>
    <w:p>
      <w:pPr>
        <w:spacing w:line="600" w:lineRule="exact"/>
        <w:ind w:firstLine="640" w:firstLineChars="200"/>
        <w:rPr>
          <w:rFonts w:hint="default" w:ascii="Times New Roman" w:hAnsi="Times New Roman" w:eastAsia="仿宋_GB2312" w:cs="Times New Roman"/>
          <w:i w:val="0"/>
          <w:caps w:val="0"/>
          <w:color w:val="auto"/>
          <w:spacing w:val="0"/>
          <w:sz w:val="32"/>
          <w:szCs w:val="32"/>
          <w:highlight w:val="none"/>
          <w:u w:val="none"/>
          <w:shd w:val="clear" w:color="090000" w:fill="auto"/>
        </w:rPr>
      </w:pPr>
      <w:r>
        <w:rPr>
          <w:rFonts w:hint="default" w:ascii="Times New Roman" w:hAnsi="Times New Roman" w:eastAsia="仿宋_GB2312" w:cs="Times New Roman"/>
          <w:color w:val="auto"/>
          <w:sz w:val="32"/>
          <w:szCs w:val="32"/>
          <w:highlight w:val="none"/>
          <w:u w:val="none"/>
        </w:rPr>
        <w:t>支持商业健康保险的发展，更好地满足不同收入群体的差异化医疗保障需求。明确政策鼓励的商业健康保险业务空间，如超过基本医疗保险政策范围的疾病医疗保障需求、超过基本医疗保险水平之上的医疗卫生服务需求、超过基本医药与医用耗材目录之外的药品与耗材等。通过政策引导与强化市场竞争等手段，</w:t>
      </w:r>
      <w:r>
        <w:rPr>
          <w:rFonts w:hint="default" w:ascii="Times New Roman" w:hAnsi="Times New Roman" w:eastAsia="仿宋_GB2312" w:cs="Times New Roman"/>
          <w:color w:val="auto"/>
          <w:sz w:val="32"/>
          <w:szCs w:val="32"/>
          <w:highlight w:val="none"/>
          <w:u w:val="none"/>
          <w:lang w:eastAsia="zh-CN"/>
        </w:rPr>
        <w:t>鼓励</w:t>
      </w:r>
      <w:r>
        <w:rPr>
          <w:rFonts w:hint="eastAsia" w:ascii="Times New Roman" w:hAnsi="Times New Roman" w:eastAsia="仿宋_GB2312" w:cs="Times New Roman"/>
          <w:color w:val="auto"/>
          <w:sz w:val="32"/>
          <w:szCs w:val="32"/>
          <w:highlight w:val="none"/>
          <w:u w:val="none"/>
          <w:lang w:eastAsia="zh-CN"/>
        </w:rPr>
        <w:t>商业</w:t>
      </w:r>
      <w:r>
        <w:rPr>
          <w:rFonts w:hint="default" w:ascii="Times New Roman" w:hAnsi="Times New Roman" w:eastAsia="仿宋_GB2312" w:cs="Times New Roman"/>
          <w:color w:val="auto"/>
          <w:sz w:val="32"/>
          <w:szCs w:val="32"/>
          <w:highlight w:val="none"/>
          <w:u w:val="none"/>
        </w:rPr>
        <w:t>保险</w:t>
      </w:r>
      <w:r>
        <w:rPr>
          <w:rFonts w:hint="eastAsia" w:ascii="Times New Roman" w:hAnsi="Times New Roman" w:eastAsia="仿宋_GB2312" w:cs="Times New Roman"/>
          <w:color w:val="auto"/>
          <w:sz w:val="32"/>
          <w:szCs w:val="32"/>
          <w:highlight w:val="none"/>
          <w:u w:val="none"/>
          <w:lang w:eastAsia="zh-CN"/>
        </w:rPr>
        <w:t>机构</w:t>
      </w:r>
      <w:r>
        <w:rPr>
          <w:rFonts w:hint="eastAsia" w:ascii="Times New Roman" w:hAnsi="Times New Roman" w:eastAsia="仿宋_GB2312" w:cs="Times New Roman"/>
          <w:i w:val="0"/>
          <w:caps w:val="0"/>
          <w:color w:val="auto"/>
          <w:spacing w:val="0"/>
          <w:sz w:val="32"/>
          <w:szCs w:val="32"/>
          <w:highlight w:val="none"/>
          <w:u w:val="none"/>
          <w:shd w:val="clear" w:color="090000" w:fill="auto"/>
          <w:lang w:eastAsia="zh-CN"/>
        </w:rPr>
        <w:t>丰富健康保险产品供给</w:t>
      </w:r>
      <w:r>
        <w:rPr>
          <w:rFonts w:hint="default" w:ascii="Times New Roman" w:hAnsi="Times New Roman" w:eastAsia="仿宋_GB2312" w:cs="Times New Roman"/>
          <w:i w:val="0"/>
          <w:caps w:val="0"/>
          <w:color w:val="auto"/>
          <w:spacing w:val="0"/>
          <w:sz w:val="32"/>
          <w:szCs w:val="32"/>
          <w:highlight w:val="none"/>
          <w:u w:val="none"/>
          <w:shd w:val="clear" w:color="090000" w:fill="auto"/>
          <w:lang w:eastAsia="zh-CN"/>
        </w:rPr>
        <w:t>，</w:t>
      </w:r>
      <w:r>
        <w:rPr>
          <w:rFonts w:hint="default" w:ascii="Times New Roman" w:hAnsi="Times New Roman" w:eastAsia="仿宋_GB2312" w:cs="Times New Roman"/>
          <w:i w:val="0"/>
          <w:caps w:val="0"/>
          <w:color w:val="auto"/>
          <w:spacing w:val="0"/>
          <w:sz w:val="32"/>
          <w:szCs w:val="32"/>
          <w:highlight w:val="none"/>
          <w:u w:val="none"/>
          <w:shd w:val="clear" w:color="090000" w:fill="auto"/>
        </w:rPr>
        <w:t>创新完善保障内容，提高保障水平和服务能力。</w:t>
      </w:r>
    </w:p>
    <w:p>
      <w:pPr>
        <w:spacing w:line="600" w:lineRule="exact"/>
        <w:ind w:firstLine="640" w:firstLineChars="200"/>
        <w:rPr>
          <w:rFonts w:hint="default" w:ascii="Times New Roman" w:hAnsi="Times New Roman" w:eastAsia="仿宋_GB2312" w:cs="Times New Roman"/>
          <w:i w:val="0"/>
          <w:caps w:val="0"/>
          <w:color w:val="auto"/>
          <w:spacing w:val="0"/>
          <w:sz w:val="32"/>
          <w:szCs w:val="32"/>
          <w:highlight w:val="none"/>
          <w:u w:val="none"/>
          <w:shd w:val="clear" w:color="090000" w:fill="auto"/>
        </w:rPr>
      </w:pPr>
    </w:p>
    <w:p>
      <w:pPr>
        <w:pStyle w:val="4"/>
        <w:numPr>
          <w:ilvl w:val="0"/>
          <w:numId w:val="2"/>
        </w:numPr>
        <w:spacing w:before="0" w:beforeLines="0" w:after="0" w:afterLines="0" w:line="600" w:lineRule="exact"/>
        <w:jc w:val="center"/>
        <w:outlineLvl w:val="1"/>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健全统一规范的医疗救助制度</w:t>
      </w:r>
    </w:p>
    <w:p>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Cs/>
          <w:color w:val="auto"/>
          <w:sz w:val="32"/>
          <w:szCs w:val="32"/>
          <w:highlight w:val="none"/>
          <w:u w:val="none"/>
        </w:rPr>
        <w:t>完善医疗救助办法。</w:t>
      </w:r>
      <w:r>
        <w:rPr>
          <w:rFonts w:hint="default" w:ascii="Times New Roman" w:hAnsi="Times New Roman" w:eastAsia="仿宋_GB2312" w:cs="Times New Roman"/>
          <w:color w:val="auto"/>
          <w:sz w:val="32"/>
          <w:szCs w:val="32"/>
          <w:highlight w:val="none"/>
          <w:u w:val="none"/>
        </w:rPr>
        <w:t>建立完善救助对象及时精准识别机制，加强动态监测，科学确定救助范围。推动医疗救助统筹层次与基本医疗保险统筹层次相协调，规范救助标准，理顺经办管理，形成包括资助参保、</w:t>
      </w:r>
      <w:r>
        <w:rPr>
          <w:rFonts w:hint="default" w:ascii="Times New Roman" w:hAnsi="Times New Roman" w:eastAsia="仿宋_GB2312" w:cs="Times New Roman"/>
          <w:color w:val="auto"/>
          <w:sz w:val="32"/>
          <w:szCs w:val="32"/>
          <w:highlight w:val="none"/>
          <w:u w:val="none"/>
          <w:lang w:eastAsia="zh-CN"/>
        </w:rPr>
        <w:t>门诊</w:t>
      </w:r>
      <w:r>
        <w:rPr>
          <w:rFonts w:hint="default" w:ascii="Times New Roman" w:hAnsi="Times New Roman" w:eastAsia="仿宋_GB2312" w:cs="Times New Roman"/>
          <w:color w:val="auto"/>
          <w:sz w:val="32"/>
          <w:szCs w:val="32"/>
          <w:highlight w:val="none"/>
          <w:u w:val="none"/>
        </w:rPr>
        <w:t>医疗救助</w:t>
      </w:r>
      <w:r>
        <w:rPr>
          <w:rFonts w:hint="default" w:ascii="Times New Roman" w:hAnsi="Times New Roman" w:eastAsia="仿宋_GB2312" w:cs="Times New Roman"/>
          <w:color w:val="auto"/>
          <w:sz w:val="32"/>
          <w:szCs w:val="32"/>
          <w:highlight w:val="none"/>
          <w:u w:val="none"/>
          <w:lang w:eastAsia="zh-CN"/>
        </w:rPr>
        <w:t>、住院</w:t>
      </w:r>
      <w:r>
        <w:rPr>
          <w:rFonts w:hint="default" w:ascii="Times New Roman" w:hAnsi="Times New Roman" w:eastAsia="仿宋_GB2312" w:cs="Times New Roman"/>
          <w:color w:val="auto"/>
          <w:sz w:val="32"/>
          <w:szCs w:val="32"/>
          <w:highlight w:val="none"/>
          <w:u w:val="none"/>
        </w:rPr>
        <w:t>医疗救助</w:t>
      </w:r>
      <w:r>
        <w:rPr>
          <w:rFonts w:hint="default" w:ascii="Times New Roman" w:hAnsi="Times New Roman" w:eastAsia="仿宋_GB2312" w:cs="Times New Roman"/>
          <w:color w:val="auto"/>
          <w:sz w:val="32"/>
          <w:szCs w:val="32"/>
          <w:highlight w:val="none"/>
          <w:u w:val="none"/>
          <w:lang w:eastAsia="zh-CN"/>
        </w:rPr>
        <w:t>和二次医疗救助</w:t>
      </w:r>
      <w:r>
        <w:rPr>
          <w:rFonts w:hint="default" w:ascii="Times New Roman" w:hAnsi="Times New Roman" w:eastAsia="仿宋_GB2312" w:cs="Times New Roman"/>
          <w:color w:val="auto"/>
          <w:sz w:val="32"/>
          <w:szCs w:val="32"/>
          <w:highlight w:val="none"/>
          <w:u w:val="none"/>
        </w:rPr>
        <w:t>的医疗救助体系。</w:t>
      </w:r>
    </w:p>
    <w:p>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统一和规范医疗救助制度，加强医保</w:t>
      </w:r>
      <w:r>
        <w:rPr>
          <w:rFonts w:hint="eastAsia" w:ascii="Times New Roman" w:hAnsi="Times New Roman" w:eastAsia="仿宋_GB2312" w:cs="Times New Roman"/>
          <w:color w:val="auto"/>
          <w:sz w:val="32"/>
          <w:szCs w:val="32"/>
          <w:highlight w:val="none"/>
          <w:u w:val="none"/>
          <w:lang w:val="en-US" w:eastAsia="zh-CN"/>
        </w:rPr>
        <w:t>部门</w:t>
      </w:r>
      <w:r>
        <w:rPr>
          <w:rFonts w:hint="default" w:ascii="Times New Roman" w:hAnsi="Times New Roman" w:eastAsia="仿宋_GB2312" w:cs="Times New Roman"/>
          <w:color w:val="auto"/>
          <w:sz w:val="32"/>
          <w:szCs w:val="32"/>
          <w:highlight w:val="none"/>
          <w:u w:val="none"/>
        </w:rPr>
        <w:t>和</w:t>
      </w:r>
      <w:r>
        <w:rPr>
          <w:rFonts w:hint="default" w:ascii="Times New Roman" w:hAnsi="Times New Roman" w:eastAsia="仿宋_GB2312" w:cs="Times New Roman"/>
          <w:color w:val="auto"/>
          <w:sz w:val="32"/>
          <w:szCs w:val="32"/>
          <w:highlight w:val="none"/>
          <w:u w:val="none"/>
          <w:lang w:eastAsia="zh-CN"/>
        </w:rPr>
        <w:t>民政、</w:t>
      </w:r>
      <w:r>
        <w:rPr>
          <w:rFonts w:hint="default" w:ascii="Times New Roman" w:hAnsi="Times New Roman" w:eastAsia="仿宋_GB2312" w:cs="Times New Roman"/>
          <w:color w:val="auto"/>
          <w:sz w:val="32"/>
          <w:szCs w:val="32"/>
          <w:highlight w:val="none"/>
          <w:u w:val="none"/>
        </w:rPr>
        <w:t>乡村振兴部门之间的有机联动</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加强动态监测，增强医疗救助兜底力度，建立防范和化解因病致贫长效机制。</w:t>
      </w:r>
    </w:p>
    <w:p>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Cs/>
          <w:color w:val="auto"/>
          <w:sz w:val="32"/>
          <w:szCs w:val="32"/>
          <w:highlight w:val="none"/>
          <w:u w:val="none"/>
        </w:rPr>
        <w:t>提高医疗救助服务效率，加强医疗救助基金的监管。</w:t>
      </w:r>
      <w:r>
        <w:rPr>
          <w:rFonts w:hint="default" w:ascii="Times New Roman" w:hAnsi="Times New Roman" w:eastAsia="仿宋_GB2312" w:cs="Times New Roman"/>
          <w:color w:val="auto"/>
          <w:sz w:val="32"/>
          <w:szCs w:val="32"/>
          <w:highlight w:val="none"/>
          <w:u w:val="none"/>
        </w:rPr>
        <w:t>注重财政部门、民政部门和医保部门的配合，优化救助对象经济状况审查流程，提升审查效率。同时加强医疗救助资金的监管力度。</w:t>
      </w:r>
    </w:p>
    <w:p>
      <w:pPr>
        <w:pStyle w:val="4"/>
        <w:numPr>
          <w:ilvl w:val="0"/>
          <w:numId w:val="3"/>
        </w:numPr>
        <w:spacing w:before="0" w:beforeLines="0" w:after="0" w:afterLines="0" w:line="600" w:lineRule="exact"/>
        <w:jc w:val="center"/>
        <w:outlineLvl w:val="1"/>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优化完善生育保险制度</w:t>
      </w:r>
    </w:p>
    <w:p>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Cs/>
          <w:color w:val="auto"/>
          <w:sz w:val="32"/>
          <w:szCs w:val="32"/>
          <w:highlight w:val="none"/>
          <w:u w:val="none"/>
        </w:rPr>
        <w:t>进一步落实《广东省职工生育保险规定》，促进实现应保尽保。</w:t>
      </w:r>
      <w:r>
        <w:rPr>
          <w:rFonts w:hint="default" w:ascii="Times New Roman" w:hAnsi="Times New Roman" w:eastAsia="仿宋_GB2312" w:cs="Times New Roman"/>
          <w:color w:val="auto"/>
          <w:sz w:val="32"/>
          <w:szCs w:val="32"/>
          <w:highlight w:val="none"/>
          <w:u w:val="none"/>
        </w:rPr>
        <w:t>合理设定生育津贴计发办法，进一步简化申领生育保险待遇的手续和证明事项。</w:t>
      </w:r>
    </w:p>
    <w:p>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Cs/>
          <w:color w:val="auto"/>
          <w:sz w:val="32"/>
          <w:szCs w:val="32"/>
          <w:highlight w:val="none"/>
          <w:u w:val="none"/>
        </w:rPr>
        <w:t>优化生育保险和医疗保险合并实施后的协同管理。</w:t>
      </w:r>
      <w:r>
        <w:rPr>
          <w:rFonts w:hint="default" w:ascii="Times New Roman" w:hAnsi="Times New Roman" w:eastAsia="仿宋_GB2312" w:cs="Times New Roman"/>
          <w:color w:val="auto"/>
          <w:sz w:val="32"/>
          <w:szCs w:val="32"/>
          <w:highlight w:val="none"/>
          <w:u w:val="none"/>
        </w:rPr>
        <w:t>注重</w:t>
      </w:r>
      <w:r>
        <w:rPr>
          <w:rFonts w:hint="default" w:ascii="Times New Roman" w:hAnsi="Times New Roman" w:eastAsia="仿宋_GB2312" w:cs="Times New Roman"/>
          <w:color w:val="auto"/>
          <w:sz w:val="32"/>
          <w:szCs w:val="32"/>
          <w:highlight w:val="none"/>
          <w:u w:val="none"/>
          <w:shd w:val="clear" w:color="auto" w:fill="auto"/>
          <w:lang w:eastAsia="zh-CN"/>
        </w:rPr>
        <w:t>两</w:t>
      </w:r>
      <w:r>
        <w:rPr>
          <w:rFonts w:hint="default" w:ascii="Times New Roman" w:hAnsi="Times New Roman" w:eastAsia="仿宋_GB2312" w:cs="Times New Roman"/>
          <w:color w:val="auto"/>
          <w:sz w:val="32"/>
          <w:szCs w:val="32"/>
          <w:highlight w:val="none"/>
          <w:u w:val="none"/>
        </w:rPr>
        <w:t>险合并实施后在缴费标准、责任机制等方面的衔接。理顺合并实施和省级统筹的政策衔接问题。</w:t>
      </w:r>
    </w:p>
    <w:p>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Cs/>
          <w:color w:val="auto"/>
          <w:sz w:val="32"/>
          <w:szCs w:val="32"/>
          <w:highlight w:val="none"/>
          <w:u w:val="none"/>
        </w:rPr>
        <w:t>建立生育保险费率的动态调整机制</w:t>
      </w:r>
      <w:r>
        <w:rPr>
          <w:rFonts w:hint="default" w:ascii="Times New Roman" w:hAnsi="Times New Roman" w:eastAsia="仿宋_GB2312" w:cs="Times New Roman"/>
          <w:bCs/>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化解生育保险基金风险。</w:t>
      </w:r>
    </w:p>
    <w:p>
      <w:pPr>
        <w:spacing w:line="600" w:lineRule="exact"/>
        <w:ind w:firstLine="640" w:firstLineChars="200"/>
        <w:rPr>
          <w:rFonts w:hint="default" w:ascii="Times New Roman" w:hAnsi="Times New Roman" w:eastAsia="仿宋_GB2312" w:cs="Times New Roman"/>
          <w:color w:val="auto"/>
          <w:sz w:val="32"/>
          <w:szCs w:val="32"/>
          <w:highlight w:val="none"/>
          <w:u w:val="none"/>
        </w:rPr>
      </w:pPr>
    </w:p>
    <w:p>
      <w:pPr>
        <w:pStyle w:val="4"/>
        <w:numPr>
          <w:ilvl w:val="0"/>
          <w:numId w:val="3"/>
        </w:numPr>
        <w:spacing w:before="0" w:beforeLines="0" w:after="0" w:afterLines="0" w:line="600" w:lineRule="exact"/>
        <w:jc w:val="center"/>
        <w:outlineLvl w:val="1"/>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探索建立长期护理保险制度</w:t>
      </w:r>
    </w:p>
    <w:p>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Cs/>
          <w:color w:val="auto"/>
          <w:sz w:val="32"/>
          <w:szCs w:val="32"/>
          <w:highlight w:val="none"/>
          <w:u w:val="none"/>
        </w:rPr>
        <w:t>积极探索建立长期护理保险制度。</w:t>
      </w:r>
      <w:r>
        <w:rPr>
          <w:rFonts w:hint="default" w:ascii="Times New Roman" w:hAnsi="Times New Roman" w:eastAsia="仿宋_GB2312" w:cs="Times New Roman"/>
          <w:color w:val="auto"/>
          <w:sz w:val="32"/>
          <w:szCs w:val="32"/>
          <w:highlight w:val="none"/>
          <w:u w:val="none"/>
        </w:rPr>
        <w:t>根据国家和省的部署，探索开展茂名市长期护理保险试点工作，向符合条件的失能人员提供基本生活照料和医疗护理等保障，分担基本医疗保险实际承担的慢性病预防与治疗负担，提高失能人员生活品质。通过政府购买服务、公开招标，积极引进第三方力量参与长期护理保险的经办管理与服务提供。同步建立绩效评价、考核激励、风险防范等机制，提高经办管理服务能力和效率。建立对基金支出的监督稽核制度，探索引入第三方监管机制，加强对护理服务行为和护理费用使用的监管。</w:t>
      </w:r>
    </w:p>
    <w:p>
      <w:pPr>
        <w:spacing w:line="600" w:lineRule="exact"/>
        <w:ind w:firstLine="640" w:firstLineChars="200"/>
        <w:rPr>
          <w:rFonts w:hint="default" w:ascii="Times New Roman" w:hAnsi="Times New Roman" w:eastAsia="仿宋_GB2312" w:cs="Times New Roman"/>
          <w:color w:val="auto"/>
          <w:sz w:val="32"/>
          <w:szCs w:val="32"/>
          <w:highlight w:val="none"/>
          <w:u w:val="none"/>
        </w:rPr>
      </w:pPr>
    </w:p>
    <w:p>
      <w:pPr>
        <w:pStyle w:val="4"/>
        <w:numPr>
          <w:ilvl w:val="0"/>
          <w:numId w:val="3"/>
        </w:numPr>
        <w:spacing w:before="0" w:beforeLines="0" w:after="0" w:afterLines="0" w:line="600" w:lineRule="exact"/>
        <w:jc w:val="center"/>
        <w:outlineLvl w:val="1"/>
        <w:rPr>
          <w:rFonts w:hint="default" w:ascii="Times New Roman" w:hAnsi="Times New Roman" w:eastAsia="黑体" w:cs="Times New Roman"/>
          <w:b w:val="0"/>
          <w:bCs w:val="0"/>
          <w:color w:val="auto"/>
          <w:sz w:val="32"/>
          <w:szCs w:val="32"/>
          <w:highlight w:val="none"/>
          <w:u w:val="none"/>
          <w:lang w:eastAsia="zh-CN"/>
        </w:rPr>
      </w:pPr>
      <w:r>
        <w:rPr>
          <w:rFonts w:hint="default" w:ascii="Times New Roman" w:hAnsi="Times New Roman" w:eastAsia="黑体" w:cs="Times New Roman"/>
          <w:b w:val="0"/>
          <w:bCs w:val="0"/>
          <w:color w:val="auto"/>
          <w:sz w:val="32"/>
          <w:szCs w:val="32"/>
          <w:highlight w:val="none"/>
          <w:u w:val="none"/>
          <w:lang w:eastAsia="zh-CN"/>
        </w:rPr>
        <w:t>健全重大疫情医疗保障机制</w:t>
      </w:r>
    </w:p>
    <w:p>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Cs/>
          <w:color w:val="auto"/>
          <w:sz w:val="32"/>
          <w:szCs w:val="32"/>
          <w:highlight w:val="none"/>
          <w:u w:val="none"/>
        </w:rPr>
        <w:t>健全重大疫情医疗救治医保</w:t>
      </w:r>
      <w:r>
        <w:rPr>
          <w:rFonts w:hint="default" w:ascii="Times New Roman" w:hAnsi="Times New Roman" w:eastAsia="仿宋_GB2312" w:cs="Times New Roman"/>
          <w:bCs/>
          <w:color w:val="auto"/>
          <w:sz w:val="32"/>
          <w:szCs w:val="32"/>
          <w:highlight w:val="none"/>
          <w:u w:val="none"/>
          <w:lang w:eastAsia="zh-CN"/>
        </w:rPr>
        <w:t>费用保障</w:t>
      </w:r>
      <w:r>
        <w:rPr>
          <w:rFonts w:hint="default" w:ascii="Times New Roman" w:hAnsi="Times New Roman" w:eastAsia="仿宋_GB2312" w:cs="Times New Roman"/>
          <w:bCs/>
          <w:color w:val="auto"/>
          <w:sz w:val="32"/>
          <w:szCs w:val="32"/>
          <w:highlight w:val="none"/>
          <w:u w:val="none"/>
        </w:rPr>
        <w:t>机制。</w:t>
      </w:r>
      <w:r>
        <w:rPr>
          <w:rFonts w:hint="default" w:ascii="Times New Roman" w:hAnsi="Times New Roman" w:eastAsia="仿宋_GB2312" w:cs="Times New Roman"/>
          <w:color w:val="auto"/>
          <w:sz w:val="32"/>
          <w:szCs w:val="32"/>
          <w:highlight w:val="none"/>
          <w:u w:val="none"/>
        </w:rPr>
        <w:t>在突发重大公共卫生事件等紧急情况时，确保医疗机构先救治、后收费；</w:t>
      </w:r>
      <w:r>
        <w:rPr>
          <w:rFonts w:hint="default" w:ascii="Times New Roman" w:hAnsi="Times New Roman" w:eastAsia="仿宋_GB2312" w:cs="Times New Roman"/>
          <w:bCs/>
          <w:color w:val="auto"/>
          <w:sz w:val="32"/>
          <w:szCs w:val="32"/>
          <w:highlight w:val="none"/>
          <w:u w:val="none"/>
          <w:lang w:eastAsia="zh-CN"/>
        </w:rPr>
        <w:t>医保及时、足额支付</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确保患者不因费用问题影响就医；落实特殊群体、特定疾病医药费豁免制度以及有针对性免除医保目录、支付限额、用药量等限制性条款的政策；按照国家和省的统一要求，建立健全医保基金与公共卫生财政资金在重大疫情医疗救治费用保障中的统筹使用机制。</w:t>
      </w:r>
    </w:p>
    <w:tbl>
      <w:tblPr>
        <w:tblStyle w:val="13"/>
        <w:tblpPr w:leftFromText="180" w:rightFromText="180" w:vertAnchor="text" w:horzAnchor="page" w:tblpX="1725" w:tblpY="34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8880" w:type="dxa"/>
            <w:tcBorders>
              <w:top w:val="single" w:color="auto" w:sz="4" w:space="0"/>
              <w:left w:val="single" w:color="auto" w:sz="4" w:space="0"/>
              <w:bottom w:val="single" w:color="auto" w:sz="4" w:space="0"/>
              <w:right w:val="single" w:color="auto" w:sz="4" w:space="0"/>
            </w:tcBorders>
            <w:noWrap w:val="0"/>
            <w:vAlign w:val="center"/>
          </w:tcPr>
          <w:p>
            <w:pPr>
              <w:pStyle w:val="3"/>
              <w:spacing w:line="600" w:lineRule="exact"/>
              <w:jc w:val="center"/>
              <w:outlineLvl w:val="1"/>
              <w:rPr>
                <w:rFonts w:hint="default" w:ascii="Times New Roman" w:hAnsi="Times New Roman" w:cs="Times New Roman"/>
                <w:b w:val="0"/>
                <w:bCs/>
                <w:color w:val="auto"/>
                <w:szCs w:val="32"/>
                <w:highlight w:val="none"/>
                <w:u w:val="none"/>
              </w:rPr>
            </w:pPr>
            <w:r>
              <w:rPr>
                <w:rFonts w:hint="default" w:ascii="Times New Roman" w:hAnsi="Times New Roman" w:eastAsia="仿宋_GB2312" w:cs="Times New Roman"/>
                <w:bCs/>
                <w:color w:val="auto"/>
                <w:sz w:val="32"/>
                <w:szCs w:val="32"/>
                <w:highlight w:val="none"/>
                <w:u w:val="none"/>
              </w:rPr>
              <w:t>专栏2  完善待遇保障机制重点项目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trPr>
        <w:tc>
          <w:tcPr>
            <w:tcW w:w="8880" w:type="dxa"/>
            <w:tcBorders>
              <w:top w:val="single" w:color="auto" w:sz="4" w:space="0"/>
              <w:left w:val="single" w:color="auto" w:sz="4" w:space="0"/>
              <w:bottom w:val="single" w:color="auto" w:sz="4" w:space="0"/>
              <w:right w:val="single" w:color="auto" w:sz="4" w:space="0"/>
            </w:tcBorders>
            <w:noWrap w:val="0"/>
            <w:vAlign w:val="center"/>
          </w:tcPr>
          <w:p>
            <w:pPr>
              <w:pStyle w:val="18"/>
              <w:widowControl w:val="0"/>
              <w:wordWrap/>
              <w:adjustRightInd/>
              <w:snapToGrid/>
              <w:spacing w:line="600" w:lineRule="exact"/>
              <w:ind w:left="0" w:leftChars="0" w:firstLine="480" w:firstLineChars="200"/>
              <w:textAlignment w:val="auto"/>
              <w:rPr>
                <w:rFonts w:hint="default" w:ascii="Times New Roman" w:hAnsi="Times New Roman" w:cs="Times New Roman"/>
                <w:color w:val="auto"/>
                <w:highlight w:val="none"/>
                <w:u w:val="none"/>
              </w:rPr>
            </w:pPr>
            <w:r>
              <w:rPr>
                <w:rFonts w:hint="eastAsia" w:ascii="仿宋_GB2312" w:hAnsi="仿宋_GB2312" w:eastAsia="仿宋_GB2312" w:cs="仿宋_GB2312"/>
                <w:color w:val="auto"/>
                <w:kern w:val="2"/>
                <w:sz w:val="24"/>
                <w:szCs w:val="24"/>
                <w:highlight w:val="none"/>
                <w:u w:val="none"/>
                <w:lang w:val="en-US" w:eastAsia="zh-CN" w:bidi="ar-SA"/>
              </w:rPr>
              <w:t>根据省和国家的规定，建立健全医疗保障待遇清单制度，推动实施医疗保障制度框架、制度名称、制度设置、政策标准、基金支付范围等规范统一，实现决策权限清晰合规，制度体系统一规范、保障标准合理均衡，确保医疗保障基金运行安全和制度可持续发展。</w:t>
            </w:r>
          </w:p>
        </w:tc>
      </w:tr>
    </w:tbl>
    <w:p>
      <w:pPr>
        <w:spacing w:line="600" w:lineRule="exact"/>
        <w:rPr>
          <w:rFonts w:hint="default" w:ascii="Times New Roman" w:hAnsi="Times New Roman" w:eastAsia="仿宋_GB2312" w:cs="Times New Roman"/>
          <w:color w:val="auto"/>
          <w:sz w:val="32"/>
          <w:szCs w:val="32"/>
          <w:highlight w:val="none"/>
          <w:u w:val="none"/>
        </w:rPr>
      </w:pPr>
    </w:p>
    <w:p>
      <w:pPr>
        <w:pStyle w:val="18"/>
        <w:spacing w:line="600" w:lineRule="exact"/>
        <w:ind w:left="0" w:leftChars="0"/>
        <w:rPr>
          <w:rFonts w:hint="default" w:ascii="Times New Roman" w:hAnsi="Times New Roman" w:eastAsia="仿宋_GB2312" w:cs="Times New Roman"/>
          <w:color w:val="auto"/>
          <w:sz w:val="32"/>
          <w:szCs w:val="32"/>
          <w:highlight w:val="none"/>
          <w:u w:val="none"/>
        </w:rPr>
      </w:pPr>
    </w:p>
    <w:p>
      <w:pPr>
        <w:pStyle w:val="3"/>
        <w:numPr>
          <w:ilvl w:val="0"/>
          <w:numId w:val="1"/>
        </w:numPr>
        <w:spacing w:before="0" w:beforeLines="0" w:after="0" w:afterLines="0" w:line="600" w:lineRule="exact"/>
        <w:jc w:val="center"/>
        <w:outlineLvl w:val="0"/>
        <w:rPr>
          <w:rStyle w:val="15"/>
          <w:rFonts w:hint="default" w:ascii="Times New Roman" w:hAnsi="Times New Roman" w:eastAsia="方正小标宋简体" w:cs="Times New Roman"/>
          <w:b w:val="0"/>
          <w:color w:val="auto"/>
          <w:sz w:val="36"/>
          <w:szCs w:val="36"/>
          <w:highlight w:val="none"/>
          <w:u w:val="none"/>
        </w:rPr>
      </w:pPr>
      <w:r>
        <w:rPr>
          <w:rFonts w:hint="default" w:ascii="Times New Roman" w:hAnsi="Times New Roman" w:eastAsia="仿宋_GB2312" w:cs="Times New Roman"/>
          <w:color w:val="auto"/>
          <w:sz w:val="32"/>
          <w:szCs w:val="32"/>
          <w:highlight w:val="none"/>
          <w:u w:val="none"/>
        </w:rPr>
        <w:br w:type="page"/>
      </w:r>
      <w:r>
        <w:rPr>
          <w:rStyle w:val="15"/>
          <w:rFonts w:hint="default" w:ascii="Times New Roman" w:hAnsi="Times New Roman" w:eastAsia="方正小标宋简体" w:cs="Times New Roman"/>
          <w:b w:val="0"/>
          <w:color w:val="auto"/>
          <w:sz w:val="36"/>
          <w:szCs w:val="36"/>
          <w:highlight w:val="none"/>
          <w:u w:val="none"/>
        </w:rPr>
        <w:t xml:space="preserve">  健全稳健可持续的筹资运行机制</w:t>
      </w:r>
    </w:p>
    <w:p>
      <w:pPr>
        <w:pStyle w:val="3"/>
        <w:numPr>
          <w:ilvl w:val="0"/>
          <w:numId w:val="0"/>
        </w:numPr>
        <w:spacing w:before="0" w:beforeLines="0" w:after="0" w:afterLines="0" w:line="600" w:lineRule="exact"/>
        <w:jc w:val="both"/>
        <w:outlineLvl w:val="0"/>
        <w:rPr>
          <w:rStyle w:val="15"/>
          <w:rFonts w:hint="default" w:ascii="Times New Roman" w:hAnsi="Times New Roman" w:eastAsia="方正小标宋简体" w:cs="Times New Roman"/>
          <w:b w:val="0"/>
          <w:color w:val="auto"/>
          <w:sz w:val="36"/>
          <w:szCs w:val="36"/>
          <w:highlight w:val="none"/>
          <w:u w:val="none"/>
        </w:rPr>
      </w:pPr>
    </w:p>
    <w:p>
      <w:pPr>
        <w:pStyle w:val="4"/>
        <w:spacing w:before="0" w:beforeLines="0" w:after="0" w:afterLines="0" w:line="600" w:lineRule="exact"/>
        <w:jc w:val="center"/>
        <w:outlineLvl w:val="1"/>
        <w:rPr>
          <w:rFonts w:hint="default" w:ascii="Times New Roman" w:hAnsi="Times New Roman" w:eastAsia="黑体" w:cs="Times New Roman"/>
          <w:b w:val="0"/>
          <w:bCs/>
          <w:color w:val="auto"/>
          <w:sz w:val="32"/>
          <w:szCs w:val="32"/>
          <w:highlight w:val="none"/>
          <w:u w:val="none"/>
        </w:rPr>
      </w:pPr>
      <w:r>
        <w:rPr>
          <w:rFonts w:hint="default" w:ascii="Times New Roman" w:hAnsi="Times New Roman" w:eastAsia="黑体" w:cs="Times New Roman"/>
          <w:b w:val="0"/>
          <w:bCs/>
          <w:color w:val="auto"/>
          <w:sz w:val="32"/>
          <w:szCs w:val="32"/>
          <w:highlight w:val="none"/>
          <w:u w:val="none"/>
        </w:rPr>
        <w:t>第一节 完善筹资分担和调整机制</w:t>
      </w:r>
    </w:p>
    <w:p>
      <w:pPr>
        <w:spacing w:line="600" w:lineRule="exact"/>
        <w:ind w:firstLine="640" w:firstLineChars="200"/>
        <w:rPr>
          <w:rFonts w:hint="default" w:ascii="Times New Roman" w:hAnsi="Times New Roman" w:eastAsia="仿宋_GB2312" w:cs="Times New Roman"/>
          <w:bCs/>
          <w:color w:val="auto"/>
          <w:sz w:val="32"/>
          <w:szCs w:val="32"/>
          <w:highlight w:val="none"/>
          <w:u w:val="none"/>
        </w:rPr>
      </w:pPr>
      <w:r>
        <w:rPr>
          <w:rFonts w:hint="default" w:ascii="Times New Roman" w:hAnsi="Times New Roman" w:eastAsia="仿宋_GB2312" w:cs="Times New Roman"/>
          <w:bCs/>
          <w:color w:val="auto"/>
          <w:sz w:val="32"/>
          <w:szCs w:val="32"/>
          <w:highlight w:val="none"/>
          <w:u w:val="none"/>
        </w:rPr>
        <w:t>完善筹资分担和调整机制，建立与</w:t>
      </w:r>
      <w:r>
        <w:rPr>
          <w:rFonts w:hint="default" w:ascii="Times New Roman" w:hAnsi="Times New Roman" w:eastAsia="仿宋_GB2312" w:cs="Times New Roman"/>
          <w:bCs/>
          <w:color w:val="auto"/>
          <w:sz w:val="32"/>
          <w:szCs w:val="32"/>
          <w:highlight w:val="none"/>
          <w:u w:val="none"/>
          <w:lang w:eastAsia="zh-CN"/>
        </w:rPr>
        <w:t>茂名</w:t>
      </w:r>
      <w:r>
        <w:rPr>
          <w:rFonts w:hint="default" w:ascii="Times New Roman" w:hAnsi="Times New Roman" w:eastAsia="仿宋_GB2312" w:cs="Times New Roman"/>
          <w:bCs/>
          <w:color w:val="auto"/>
          <w:sz w:val="32"/>
          <w:szCs w:val="32"/>
          <w:highlight w:val="none"/>
          <w:u w:val="none"/>
        </w:rPr>
        <w:t>市社会经济发展水平相适应、与各方承受能力相匹配、与基本健康需求相协调的筹资机制。均衡个人、用人单位、政府三方筹资缴费责任，厘清责任。</w:t>
      </w:r>
      <w:r>
        <w:rPr>
          <w:rFonts w:hint="default" w:ascii="Times New Roman" w:hAnsi="Times New Roman" w:eastAsia="仿宋_GB2312" w:cs="Times New Roman"/>
          <w:bCs/>
          <w:color w:val="auto"/>
          <w:sz w:val="32"/>
          <w:szCs w:val="32"/>
          <w:highlight w:val="none"/>
          <w:u w:val="none"/>
          <w:lang w:eastAsia="zh-CN"/>
        </w:rPr>
        <w:t>提高统筹基金在职工基本医疗保险基金中的比重。完善城乡居民基本医疗保险筹资政策，优化个人缴费和政府补助结构。</w:t>
      </w:r>
      <w:r>
        <w:rPr>
          <w:rFonts w:hint="default" w:ascii="Times New Roman" w:hAnsi="Times New Roman" w:eastAsia="仿宋_GB2312" w:cs="Times New Roman"/>
          <w:bCs/>
          <w:color w:val="auto"/>
          <w:sz w:val="32"/>
          <w:szCs w:val="32"/>
          <w:highlight w:val="none"/>
          <w:u w:val="none"/>
        </w:rPr>
        <w:t>拓宽医疗救助筹资渠道，不断完善筹资调整机制</w:t>
      </w:r>
      <w:r>
        <w:rPr>
          <w:rFonts w:hint="default" w:ascii="Times New Roman" w:hAnsi="Times New Roman" w:eastAsia="仿宋_GB2312" w:cs="Times New Roman"/>
          <w:bCs/>
          <w:color w:val="auto"/>
          <w:sz w:val="32"/>
          <w:szCs w:val="32"/>
          <w:highlight w:val="none"/>
          <w:u w:val="none"/>
          <w:lang w:eastAsia="zh-CN"/>
        </w:rPr>
        <w:t>。</w:t>
      </w:r>
      <w:r>
        <w:rPr>
          <w:rFonts w:hint="default" w:ascii="Times New Roman" w:hAnsi="Times New Roman" w:eastAsia="仿宋_GB2312" w:cs="Times New Roman"/>
          <w:bCs/>
          <w:color w:val="auto"/>
          <w:sz w:val="32"/>
          <w:szCs w:val="32"/>
          <w:highlight w:val="none"/>
          <w:u w:val="none"/>
        </w:rPr>
        <w:t>加强财政对居民医保、医疗救助的投入，合理划分各级财政责任。切实加强基金运行管理，加强风险预警，坚决守住不发生系统性风险底线。</w:t>
      </w:r>
    </w:p>
    <w:p>
      <w:pPr>
        <w:pStyle w:val="18"/>
        <w:spacing w:line="600" w:lineRule="exact"/>
        <w:ind w:left="0" w:leftChars="0"/>
        <w:rPr>
          <w:rFonts w:hint="default" w:ascii="Times New Roman" w:hAnsi="Times New Roman" w:cs="Times New Roman"/>
          <w:color w:val="auto"/>
          <w:highlight w:val="none"/>
          <w:u w:val="none"/>
        </w:rPr>
      </w:pPr>
    </w:p>
    <w:p>
      <w:pPr>
        <w:pStyle w:val="4"/>
        <w:spacing w:before="0" w:beforeLines="0" w:after="0" w:afterLines="0" w:line="600" w:lineRule="exact"/>
        <w:jc w:val="center"/>
        <w:outlineLvl w:val="1"/>
        <w:rPr>
          <w:rFonts w:hint="default" w:ascii="Times New Roman" w:hAnsi="Times New Roman" w:eastAsia="黑体" w:cs="Times New Roman"/>
          <w:b w:val="0"/>
          <w:bCs/>
          <w:color w:val="auto"/>
          <w:sz w:val="32"/>
          <w:szCs w:val="32"/>
          <w:highlight w:val="none"/>
          <w:u w:val="none"/>
        </w:rPr>
      </w:pPr>
      <w:r>
        <w:rPr>
          <w:rFonts w:hint="default" w:ascii="Times New Roman" w:hAnsi="Times New Roman" w:eastAsia="黑体" w:cs="Times New Roman"/>
          <w:b w:val="0"/>
          <w:bCs/>
          <w:color w:val="auto"/>
          <w:sz w:val="32"/>
          <w:szCs w:val="32"/>
          <w:highlight w:val="none"/>
          <w:u w:val="none"/>
        </w:rPr>
        <w:t>第二节 完善基金预算制度</w:t>
      </w:r>
    </w:p>
    <w:p>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Cs/>
          <w:color w:val="auto"/>
          <w:sz w:val="32"/>
          <w:szCs w:val="32"/>
          <w:highlight w:val="none"/>
          <w:u w:val="none"/>
        </w:rPr>
        <w:t>完善医保基金预算管理机制。</w:t>
      </w:r>
      <w:r>
        <w:rPr>
          <w:rFonts w:hint="default" w:ascii="Times New Roman" w:hAnsi="Times New Roman" w:eastAsia="仿宋_GB2312" w:cs="Times New Roman"/>
          <w:color w:val="auto"/>
          <w:sz w:val="32"/>
          <w:szCs w:val="32"/>
          <w:highlight w:val="none"/>
          <w:u w:val="none"/>
        </w:rPr>
        <w:t>完善医保基金预算管理与总额预算管理，科学编制医疗保障基金收支预算。加强预算执行监督，落实预算绩效管理，建立基金绩效管理体系，合理制定绩效评价指标和目标，提高医保基金抗风险能力，并统筹考虑省级统筹等其他各项改革对基金的影响，确保平稳过渡。</w:t>
      </w:r>
    </w:p>
    <w:p>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Cs/>
          <w:color w:val="auto"/>
          <w:sz w:val="32"/>
          <w:szCs w:val="32"/>
          <w:highlight w:val="none"/>
          <w:u w:val="none"/>
        </w:rPr>
        <w:t>建立基金预警机制。</w:t>
      </w:r>
      <w:r>
        <w:rPr>
          <w:rFonts w:hint="default" w:ascii="Times New Roman" w:hAnsi="Times New Roman" w:eastAsia="仿宋_GB2312" w:cs="Times New Roman"/>
          <w:color w:val="auto"/>
          <w:sz w:val="32"/>
          <w:szCs w:val="32"/>
          <w:highlight w:val="none"/>
          <w:u w:val="none"/>
        </w:rPr>
        <w:t>加强基金中长期精算，构建收支平衡机制，健全基金运行风险评估、预警机制。</w:t>
      </w:r>
    </w:p>
    <w:p>
      <w:pPr>
        <w:pStyle w:val="18"/>
        <w:spacing w:line="600" w:lineRule="exact"/>
        <w:ind w:left="0" w:leftChars="0"/>
        <w:rPr>
          <w:rFonts w:hint="default" w:ascii="Times New Roman" w:hAnsi="Times New Roman" w:eastAsia="仿宋_GB2312" w:cs="Times New Roman"/>
          <w:color w:val="auto"/>
          <w:sz w:val="32"/>
          <w:szCs w:val="32"/>
          <w:highlight w:val="none"/>
          <w:u w:val="none"/>
        </w:rPr>
      </w:pPr>
    </w:p>
    <w:p>
      <w:pPr>
        <w:spacing w:line="600" w:lineRule="exact"/>
        <w:rPr>
          <w:rFonts w:hint="default" w:ascii="Times New Roman" w:hAnsi="Times New Roman" w:cs="Times New Roman"/>
          <w:color w:val="auto"/>
          <w:highlight w:val="none"/>
          <w:u w:val="none"/>
        </w:rPr>
      </w:pPr>
    </w:p>
    <w:tbl>
      <w:tblPr>
        <w:tblStyle w:val="13"/>
        <w:tblpPr w:leftFromText="180" w:rightFromText="180" w:vertAnchor="text" w:horzAnchor="page" w:tblpX="1725" w:tblpY="34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00" w:type="dxa"/>
            <w:tcBorders>
              <w:top w:val="single" w:color="auto" w:sz="4" w:space="0"/>
              <w:left w:val="single" w:color="auto" w:sz="4" w:space="0"/>
              <w:bottom w:val="single" w:color="auto" w:sz="4" w:space="0"/>
              <w:right w:val="single" w:color="auto" w:sz="4" w:space="0"/>
            </w:tcBorders>
            <w:noWrap w:val="0"/>
            <w:vAlign w:val="center"/>
          </w:tcPr>
          <w:p>
            <w:pPr>
              <w:pStyle w:val="3"/>
              <w:spacing w:line="600" w:lineRule="exact"/>
              <w:jc w:val="center"/>
              <w:outlineLvl w:val="1"/>
              <w:rPr>
                <w:rFonts w:hint="default" w:ascii="Times New Roman" w:hAnsi="Times New Roman" w:cs="Times New Roman"/>
                <w:b w:val="0"/>
                <w:bCs/>
                <w:color w:val="auto"/>
                <w:szCs w:val="32"/>
                <w:highlight w:val="none"/>
                <w:u w:val="none"/>
              </w:rPr>
            </w:pPr>
            <w:r>
              <w:rPr>
                <w:rFonts w:hint="eastAsia" w:ascii="仿宋_GB2312" w:hAnsi="仿宋_GB2312" w:eastAsia="仿宋_GB2312" w:cs="仿宋_GB2312"/>
                <w:bCs/>
                <w:color w:val="auto"/>
                <w:sz w:val="32"/>
                <w:szCs w:val="32"/>
                <w:highlight w:val="none"/>
                <w:u w:val="none"/>
              </w:rPr>
              <w:t>专栏3  筹资运行机制重点项目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8900"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snapToGrid/>
              <w:spacing w:line="600" w:lineRule="exact"/>
              <w:ind w:firstLine="480" w:firstLineChars="200"/>
              <w:textAlignment w:val="auto"/>
              <w:rPr>
                <w:rFonts w:hint="default" w:ascii="Times New Roman" w:hAnsi="Times New Roman" w:eastAsia="宋体" w:cs="Times New Roman"/>
                <w:color w:val="auto"/>
                <w:highlight w:val="none"/>
                <w:u w:val="none"/>
              </w:rPr>
            </w:pPr>
            <w:r>
              <w:rPr>
                <w:rFonts w:hint="eastAsia" w:ascii="仿宋_GB2312" w:hAnsi="仿宋_GB2312" w:eastAsia="仿宋_GB2312" w:cs="仿宋_GB2312"/>
                <w:color w:val="auto"/>
                <w:kern w:val="2"/>
                <w:sz w:val="24"/>
                <w:szCs w:val="24"/>
                <w:highlight w:val="none"/>
                <w:u w:val="none"/>
                <w:lang w:val="en-US" w:eastAsia="zh-CN" w:bidi="ar-SA"/>
              </w:rPr>
              <w:t>根据国家和省的统一部署，完善责任均衡的多元筹资机制；建立基准费率制度，合理确定费率，研究规范缴费基数；提高统筹基金在职工基本医疗保险基金中的比重；完善城乡居民基本医疗保险筹资政策，研究建立缴费与经济社会发展水平和居民人均可支配收入挂钩的机制，优化个人缴费和政府补助结构；拓宽医疗救助筹资渠道，鼓励社会捐赠等多渠道筹资；加强财政对医疗救助的投入。</w:t>
            </w:r>
          </w:p>
        </w:tc>
      </w:tr>
    </w:tbl>
    <w:p>
      <w:pPr>
        <w:pStyle w:val="18"/>
        <w:spacing w:line="600" w:lineRule="exact"/>
        <w:ind w:left="0" w:leftChars="0"/>
        <w:rPr>
          <w:rFonts w:hint="default" w:ascii="Times New Roman" w:hAnsi="Times New Roman" w:eastAsia="仿宋_GB2312" w:cs="Times New Roman"/>
          <w:color w:val="auto"/>
          <w:sz w:val="32"/>
          <w:szCs w:val="32"/>
          <w:highlight w:val="none"/>
          <w:u w:val="none"/>
        </w:rPr>
      </w:pPr>
    </w:p>
    <w:p>
      <w:pPr>
        <w:spacing w:line="600" w:lineRule="exact"/>
        <w:rPr>
          <w:rFonts w:hint="default" w:ascii="Times New Roman" w:hAnsi="Times New Roman" w:eastAsia="仿宋_GB2312" w:cs="Times New Roman"/>
          <w:color w:val="auto"/>
          <w:sz w:val="32"/>
          <w:szCs w:val="32"/>
          <w:highlight w:val="none"/>
          <w:u w:val="none"/>
        </w:rPr>
      </w:pPr>
    </w:p>
    <w:p>
      <w:pPr>
        <w:pStyle w:val="18"/>
        <w:spacing w:line="600" w:lineRule="exact"/>
        <w:ind w:left="0" w:leftChars="0"/>
        <w:rPr>
          <w:rFonts w:hint="default" w:ascii="Times New Roman" w:hAnsi="Times New Roman" w:eastAsia="仿宋_GB2312" w:cs="Times New Roman"/>
          <w:color w:val="auto"/>
          <w:sz w:val="32"/>
          <w:szCs w:val="32"/>
          <w:highlight w:val="none"/>
          <w:u w:val="none"/>
        </w:rPr>
      </w:pPr>
    </w:p>
    <w:p>
      <w:pPr>
        <w:spacing w:line="600" w:lineRule="exact"/>
        <w:rPr>
          <w:rFonts w:hint="default" w:ascii="Times New Roman" w:hAnsi="Times New Roman" w:eastAsia="仿宋_GB2312" w:cs="Times New Roman"/>
          <w:color w:val="auto"/>
          <w:sz w:val="32"/>
          <w:szCs w:val="32"/>
          <w:highlight w:val="none"/>
          <w:u w:val="none"/>
        </w:rPr>
      </w:pPr>
    </w:p>
    <w:p>
      <w:pPr>
        <w:pStyle w:val="18"/>
        <w:spacing w:line="600" w:lineRule="exact"/>
        <w:ind w:left="0" w:leftChars="0"/>
        <w:rPr>
          <w:rFonts w:hint="default" w:ascii="Times New Roman" w:hAnsi="Times New Roman" w:eastAsia="仿宋_GB2312" w:cs="Times New Roman"/>
          <w:color w:val="auto"/>
          <w:sz w:val="32"/>
          <w:szCs w:val="32"/>
          <w:highlight w:val="none"/>
          <w:u w:val="none"/>
        </w:rPr>
      </w:pPr>
    </w:p>
    <w:p>
      <w:pPr>
        <w:spacing w:line="600" w:lineRule="exact"/>
        <w:rPr>
          <w:rFonts w:hint="default" w:ascii="Times New Roman" w:hAnsi="Times New Roman" w:eastAsia="仿宋_GB2312" w:cs="Times New Roman"/>
          <w:color w:val="auto"/>
          <w:sz w:val="32"/>
          <w:szCs w:val="32"/>
          <w:highlight w:val="none"/>
          <w:u w:val="none"/>
        </w:rPr>
      </w:pPr>
    </w:p>
    <w:p>
      <w:pPr>
        <w:pStyle w:val="18"/>
        <w:spacing w:line="600" w:lineRule="exact"/>
        <w:ind w:left="0" w:leftChars="0"/>
        <w:rPr>
          <w:rFonts w:hint="default" w:ascii="Times New Roman" w:hAnsi="Times New Roman" w:eastAsia="仿宋_GB2312" w:cs="Times New Roman"/>
          <w:color w:val="auto"/>
          <w:sz w:val="32"/>
          <w:szCs w:val="32"/>
          <w:highlight w:val="none"/>
          <w:u w:val="none"/>
        </w:rPr>
      </w:pPr>
    </w:p>
    <w:p>
      <w:pPr>
        <w:spacing w:line="600" w:lineRule="exact"/>
        <w:rPr>
          <w:rFonts w:hint="default" w:ascii="Times New Roman" w:hAnsi="Times New Roman" w:eastAsia="仿宋_GB2312" w:cs="Times New Roman"/>
          <w:color w:val="auto"/>
          <w:sz w:val="32"/>
          <w:szCs w:val="32"/>
          <w:highlight w:val="none"/>
          <w:u w:val="none"/>
        </w:rPr>
      </w:pPr>
    </w:p>
    <w:p>
      <w:pPr>
        <w:pStyle w:val="18"/>
        <w:spacing w:line="600" w:lineRule="exact"/>
        <w:ind w:left="0" w:leftChars="0"/>
        <w:rPr>
          <w:rFonts w:hint="default" w:ascii="Times New Roman" w:hAnsi="Times New Roman" w:eastAsia="仿宋_GB2312" w:cs="Times New Roman"/>
          <w:color w:val="auto"/>
          <w:sz w:val="32"/>
          <w:szCs w:val="32"/>
          <w:highlight w:val="none"/>
          <w:u w:val="none"/>
        </w:rPr>
      </w:pPr>
    </w:p>
    <w:p>
      <w:pPr>
        <w:spacing w:line="600" w:lineRule="exact"/>
        <w:rPr>
          <w:rFonts w:hint="default" w:ascii="Times New Roman" w:hAnsi="Times New Roman" w:eastAsia="仿宋_GB2312" w:cs="Times New Roman"/>
          <w:color w:val="auto"/>
          <w:sz w:val="32"/>
          <w:szCs w:val="32"/>
          <w:highlight w:val="none"/>
          <w:u w:val="none"/>
        </w:rPr>
      </w:pPr>
    </w:p>
    <w:p>
      <w:pPr>
        <w:pStyle w:val="18"/>
        <w:spacing w:line="600" w:lineRule="exact"/>
        <w:ind w:left="0" w:leftChars="0"/>
        <w:rPr>
          <w:rFonts w:hint="default" w:ascii="Times New Roman" w:hAnsi="Times New Roman" w:eastAsia="仿宋_GB2312" w:cs="Times New Roman"/>
          <w:color w:val="auto"/>
          <w:sz w:val="32"/>
          <w:szCs w:val="32"/>
          <w:highlight w:val="none"/>
          <w:u w:val="none"/>
        </w:rPr>
      </w:pPr>
    </w:p>
    <w:p>
      <w:pPr>
        <w:spacing w:line="600" w:lineRule="exact"/>
        <w:rPr>
          <w:rFonts w:hint="default" w:ascii="Times New Roman" w:hAnsi="Times New Roman" w:eastAsia="仿宋_GB2312" w:cs="Times New Roman"/>
          <w:color w:val="auto"/>
          <w:sz w:val="32"/>
          <w:szCs w:val="32"/>
          <w:highlight w:val="none"/>
          <w:u w:val="none"/>
        </w:rPr>
      </w:pPr>
    </w:p>
    <w:p>
      <w:pPr>
        <w:pStyle w:val="18"/>
        <w:spacing w:line="600" w:lineRule="exact"/>
        <w:ind w:left="0" w:leftChars="0"/>
        <w:rPr>
          <w:rFonts w:hint="default" w:ascii="Times New Roman" w:hAnsi="Times New Roman" w:eastAsia="仿宋_GB2312" w:cs="Times New Roman"/>
          <w:color w:val="auto"/>
          <w:sz w:val="32"/>
          <w:szCs w:val="32"/>
          <w:highlight w:val="none"/>
          <w:u w:val="none"/>
        </w:rPr>
      </w:pPr>
    </w:p>
    <w:p>
      <w:pPr>
        <w:spacing w:line="600" w:lineRule="exact"/>
        <w:rPr>
          <w:rFonts w:hint="default" w:ascii="Times New Roman" w:hAnsi="Times New Roman" w:cs="Times New Roman"/>
          <w:color w:val="auto"/>
          <w:highlight w:val="none"/>
          <w:u w:val="none"/>
        </w:rPr>
      </w:pPr>
    </w:p>
    <w:p>
      <w:pPr>
        <w:pStyle w:val="3"/>
        <w:numPr>
          <w:ilvl w:val="0"/>
          <w:numId w:val="1"/>
        </w:numPr>
        <w:spacing w:before="0" w:beforeLines="0" w:after="0" w:afterLines="0" w:line="600" w:lineRule="exact"/>
        <w:ind w:left="0" w:firstLine="0"/>
        <w:jc w:val="center"/>
        <w:outlineLvl w:val="0"/>
        <w:rPr>
          <w:rStyle w:val="15"/>
          <w:rFonts w:hint="default" w:ascii="Times New Roman" w:hAnsi="Times New Roman" w:eastAsia="方正小标宋简体" w:cs="Times New Roman"/>
          <w:b w:val="0"/>
          <w:color w:val="auto"/>
          <w:sz w:val="36"/>
          <w:szCs w:val="36"/>
          <w:highlight w:val="none"/>
          <w:u w:val="none"/>
        </w:rPr>
      </w:pPr>
      <w:r>
        <w:rPr>
          <w:rStyle w:val="15"/>
          <w:rFonts w:hint="default" w:ascii="Times New Roman" w:hAnsi="Times New Roman" w:eastAsia="方正小标宋简体" w:cs="Times New Roman"/>
          <w:b w:val="0"/>
          <w:color w:val="auto"/>
          <w:sz w:val="36"/>
          <w:szCs w:val="36"/>
          <w:highlight w:val="none"/>
          <w:u w:val="none"/>
        </w:rPr>
        <w:t xml:space="preserve">  建立管用高效的医保支付机制</w:t>
      </w:r>
    </w:p>
    <w:p>
      <w:pPr>
        <w:pStyle w:val="3"/>
        <w:numPr>
          <w:ilvl w:val="0"/>
          <w:numId w:val="0"/>
        </w:numPr>
        <w:spacing w:before="0" w:beforeLines="0" w:after="0" w:afterLines="0" w:line="600" w:lineRule="exact"/>
        <w:ind w:left="0" w:firstLine="0"/>
        <w:jc w:val="both"/>
        <w:outlineLvl w:val="0"/>
        <w:rPr>
          <w:rStyle w:val="15"/>
          <w:rFonts w:hint="default" w:ascii="Times New Roman" w:hAnsi="Times New Roman" w:eastAsia="方正小标宋简体" w:cs="Times New Roman"/>
          <w:b w:val="0"/>
          <w:color w:val="auto"/>
          <w:sz w:val="36"/>
          <w:szCs w:val="36"/>
          <w:highlight w:val="none"/>
          <w:u w:val="none"/>
        </w:rPr>
      </w:pPr>
    </w:p>
    <w:p>
      <w:pPr>
        <w:pStyle w:val="4"/>
        <w:spacing w:before="0" w:beforeLines="0" w:after="0" w:afterLines="0" w:line="600" w:lineRule="exact"/>
        <w:jc w:val="center"/>
        <w:outlineLvl w:val="1"/>
        <w:rPr>
          <w:rFonts w:hint="default" w:ascii="Times New Roman" w:hAnsi="Times New Roman" w:eastAsia="黑体" w:cs="Times New Roman"/>
          <w:b w:val="0"/>
          <w:bCs/>
          <w:color w:val="auto"/>
          <w:sz w:val="32"/>
          <w:szCs w:val="32"/>
          <w:highlight w:val="none"/>
          <w:u w:val="none"/>
        </w:rPr>
      </w:pPr>
      <w:r>
        <w:rPr>
          <w:rFonts w:hint="default" w:ascii="Times New Roman" w:hAnsi="Times New Roman" w:eastAsia="黑体" w:cs="Times New Roman"/>
          <w:b w:val="0"/>
          <w:bCs/>
          <w:color w:val="auto"/>
          <w:sz w:val="32"/>
          <w:szCs w:val="32"/>
          <w:highlight w:val="none"/>
          <w:u w:val="none"/>
        </w:rPr>
        <w:t>第</w:t>
      </w:r>
      <w:r>
        <w:rPr>
          <w:rFonts w:hint="default" w:ascii="Times New Roman" w:hAnsi="Times New Roman" w:eastAsia="黑体" w:cs="Times New Roman"/>
          <w:b w:val="0"/>
          <w:bCs/>
          <w:color w:val="auto"/>
          <w:sz w:val="32"/>
          <w:szCs w:val="32"/>
          <w:highlight w:val="none"/>
          <w:u w:val="none"/>
          <w:lang w:eastAsia="zh-CN"/>
        </w:rPr>
        <w:t>一</w:t>
      </w:r>
      <w:r>
        <w:rPr>
          <w:rFonts w:hint="default" w:ascii="Times New Roman" w:hAnsi="Times New Roman" w:eastAsia="黑体" w:cs="Times New Roman"/>
          <w:b w:val="0"/>
          <w:bCs/>
          <w:color w:val="auto"/>
          <w:sz w:val="32"/>
          <w:szCs w:val="32"/>
          <w:highlight w:val="none"/>
          <w:u w:val="none"/>
        </w:rPr>
        <w:t>节 强化</w:t>
      </w:r>
      <w:r>
        <w:rPr>
          <w:rFonts w:hint="default" w:ascii="Times New Roman" w:hAnsi="Times New Roman" w:eastAsia="黑体" w:cs="Times New Roman"/>
          <w:b w:val="0"/>
          <w:bCs/>
          <w:color w:val="auto"/>
          <w:sz w:val="32"/>
          <w:szCs w:val="32"/>
          <w:highlight w:val="none"/>
          <w:u w:val="none"/>
          <w:shd w:val="clear" w:color="auto" w:fill="auto"/>
        </w:rPr>
        <w:t>两</w:t>
      </w:r>
      <w:r>
        <w:rPr>
          <w:rFonts w:hint="default" w:ascii="Times New Roman" w:hAnsi="Times New Roman" w:eastAsia="黑体" w:cs="Times New Roman"/>
          <w:b w:val="0"/>
          <w:bCs/>
          <w:color w:val="auto"/>
          <w:sz w:val="32"/>
          <w:szCs w:val="32"/>
          <w:highlight w:val="none"/>
          <w:u w:val="none"/>
        </w:rPr>
        <w:t>定机构管理</w:t>
      </w:r>
    </w:p>
    <w:p>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Cs/>
          <w:color w:val="auto"/>
          <w:sz w:val="32"/>
          <w:szCs w:val="32"/>
          <w:highlight w:val="none"/>
          <w:u w:val="none"/>
        </w:rPr>
        <w:t>创新医疗保险协议管理。</w:t>
      </w:r>
      <w:r>
        <w:rPr>
          <w:rFonts w:hint="default" w:ascii="Times New Roman" w:hAnsi="Times New Roman" w:eastAsia="仿宋_GB2312" w:cs="Times New Roman"/>
          <w:color w:val="auto"/>
          <w:sz w:val="32"/>
          <w:szCs w:val="32"/>
          <w:highlight w:val="none"/>
          <w:u w:val="none"/>
        </w:rPr>
        <w:t>完善基本医疗保险协议管理，简化优化医药机构定点申请、专业评估、协商谈判程序。</w:t>
      </w:r>
      <w:r>
        <w:rPr>
          <w:rFonts w:hint="eastAsia" w:ascii="Times New Roman" w:hAnsi="Times New Roman" w:eastAsia="仿宋_GB2312" w:cs="Times New Roman"/>
          <w:color w:val="auto"/>
          <w:sz w:val="32"/>
          <w:szCs w:val="32"/>
          <w:highlight w:val="none"/>
          <w:u w:val="none"/>
          <w:lang w:eastAsia="zh-CN"/>
        </w:rPr>
        <w:t>完善</w:t>
      </w:r>
      <w:r>
        <w:rPr>
          <w:rFonts w:hint="default" w:ascii="Times New Roman" w:hAnsi="Times New Roman" w:eastAsia="仿宋_GB2312" w:cs="Times New Roman"/>
          <w:color w:val="auto"/>
          <w:sz w:val="32"/>
          <w:szCs w:val="32"/>
          <w:highlight w:val="none"/>
          <w:u w:val="none"/>
        </w:rPr>
        <w:t>协议动态管理机制</w:t>
      </w:r>
      <w:r>
        <w:rPr>
          <w:rFonts w:hint="eastAsia" w:ascii="Times New Roman" w:hAnsi="Times New Roman" w:eastAsia="仿宋_GB2312" w:cs="Times New Roman"/>
          <w:color w:val="auto"/>
          <w:sz w:val="32"/>
          <w:szCs w:val="32"/>
          <w:highlight w:val="none"/>
          <w:u w:val="none"/>
          <w:lang w:eastAsia="zh-CN"/>
        </w:rPr>
        <w:t>，科学、合理确定定点医药机构的资源配置</w:t>
      </w:r>
      <w:r>
        <w:rPr>
          <w:rFonts w:hint="default" w:ascii="Times New Roman" w:hAnsi="Times New Roman" w:eastAsia="仿宋_GB2312" w:cs="Times New Roman"/>
          <w:color w:val="auto"/>
          <w:sz w:val="32"/>
          <w:szCs w:val="32"/>
          <w:highlight w:val="none"/>
          <w:u w:val="none"/>
        </w:rPr>
        <w:t>。制定定点医药机构履行协议考核办法，建立一套科学合理、可操作性强的医疗保险绩效评价指标体系，突出医疗质量、费用控制、用药合理性、参保人获得感等考核评价，将医疗保险绩效考核结果和医保支付挂钩，细化定点医药机构违反协议情形，完善定点医药机构退出机制。</w:t>
      </w:r>
    </w:p>
    <w:p>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Cs/>
          <w:color w:val="auto"/>
          <w:sz w:val="32"/>
          <w:szCs w:val="32"/>
          <w:highlight w:val="none"/>
          <w:u w:val="none"/>
        </w:rPr>
        <w:t>建立健全医保医师管理制度。</w:t>
      </w:r>
      <w:r>
        <w:rPr>
          <w:rFonts w:hint="default" w:ascii="Times New Roman" w:hAnsi="Times New Roman" w:eastAsia="仿宋_GB2312" w:cs="Times New Roman"/>
          <w:color w:val="auto"/>
          <w:sz w:val="32"/>
          <w:szCs w:val="32"/>
          <w:highlight w:val="none"/>
          <w:u w:val="none"/>
        </w:rPr>
        <w:t>从准入管理、监督考核、奖惩机制等方面建立健全医保医师管理制度，将对医疗机构协议管理延伸到医务人员。</w:t>
      </w:r>
    </w:p>
    <w:p>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Cs/>
          <w:color w:val="auto"/>
          <w:sz w:val="32"/>
          <w:szCs w:val="32"/>
          <w:highlight w:val="none"/>
          <w:u w:val="none"/>
        </w:rPr>
        <w:t>健全完善定点医药机构动态管理机制。</w:t>
      </w:r>
      <w:r>
        <w:rPr>
          <w:rFonts w:hint="default" w:ascii="Times New Roman" w:hAnsi="Times New Roman" w:eastAsia="仿宋_GB2312" w:cs="Times New Roman"/>
          <w:color w:val="auto"/>
          <w:sz w:val="32"/>
          <w:szCs w:val="32"/>
          <w:highlight w:val="none"/>
          <w:u w:val="none"/>
        </w:rPr>
        <w:t>建立健全定点医药机构分级管理制度、参保人员医疗保障信用记录和医保医师、医保药师管理制度等，创新定点医药机构综合绩效考评等管理机制，将建立健全管理制度和机制、履行服务协议、规范合理使用医保基金、绩效考核等情况作为对定点医药机构、医保医师、医保药师考核评价的重要依据，将考核结果与预算管理、检查稽核、费用结算、协议管理等工作相关联。</w:t>
      </w:r>
    </w:p>
    <w:p>
      <w:pPr>
        <w:spacing w:line="600" w:lineRule="exact"/>
        <w:ind w:firstLine="640" w:firstLineChars="200"/>
        <w:rPr>
          <w:rFonts w:hint="default" w:ascii="Times New Roman" w:hAnsi="Times New Roman" w:eastAsia="仿宋_GB2312" w:cs="Times New Roman"/>
          <w:color w:val="auto"/>
          <w:sz w:val="32"/>
          <w:szCs w:val="32"/>
          <w:highlight w:val="none"/>
          <w:u w:val="none"/>
        </w:rPr>
      </w:pPr>
    </w:p>
    <w:p>
      <w:pPr>
        <w:pStyle w:val="4"/>
        <w:spacing w:before="0" w:beforeLines="0" w:after="0" w:afterLines="0" w:line="600" w:lineRule="exact"/>
        <w:ind w:left="0" w:leftChars="0" w:firstLine="0" w:firstLineChars="0"/>
        <w:jc w:val="center"/>
        <w:outlineLvl w:val="1"/>
        <w:rPr>
          <w:rFonts w:hint="default" w:ascii="Times New Roman" w:hAnsi="Times New Roman" w:eastAsia="仿宋_GB2312" w:cs="Times New Roman"/>
          <w:bCs w:val="0"/>
          <w:color w:val="auto"/>
          <w:kern w:val="2"/>
          <w:sz w:val="32"/>
          <w:szCs w:val="32"/>
          <w:highlight w:val="none"/>
          <w:u w:val="none"/>
          <w:shd w:val="clear" w:color="FFFFFF" w:fill="D9D9D9"/>
          <w:lang w:val="en-US" w:eastAsia="zh-CN" w:bidi="ar-SA"/>
        </w:rPr>
      </w:pPr>
      <w:r>
        <w:rPr>
          <w:rFonts w:hint="default" w:ascii="Times New Roman" w:hAnsi="Times New Roman" w:eastAsia="黑体" w:cs="Times New Roman"/>
          <w:b w:val="0"/>
          <w:bCs/>
          <w:color w:val="auto"/>
          <w:sz w:val="32"/>
          <w:szCs w:val="32"/>
          <w:highlight w:val="none"/>
          <w:u w:val="none"/>
        </w:rPr>
        <w:t>第</w:t>
      </w:r>
      <w:r>
        <w:rPr>
          <w:rFonts w:hint="default" w:ascii="Times New Roman" w:hAnsi="Times New Roman" w:eastAsia="黑体" w:cs="Times New Roman"/>
          <w:b w:val="0"/>
          <w:bCs/>
          <w:color w:val="auto"/>
          <w:sz w:val="32"/>
          <w:szCs w:val="32"/>
          <w:highlight w:val="none"/>
          <w:u w:val="none"/>
          <w:lang w:eastAsia="zh-CN"/>
        </w:rPr>
        <w:t>二</w:t>
      </w:r>
      <w:r>
        <w:rPr>
          <w:rFonts w:hint="default" w:ascii="Times New Roman" w:hAnsi="Times New Roman" w:eastAsia="黑体" w:cs="Times New Roman"/>
          <w:b w:val="0"/>
          <w:bCs/>
          <w:color w:val="auto"/>
          <w:sz w:val="32"/>
          <w:szCs w:val="32"/>
          <w:highlight w:val="none"/>
          <w:u w:val="none"/>
        </w:rPr>
        <w:t>节 深化医保支付方式改革</w:t>
      </w:r>
    </w:p>
    <w:p>
      <w:pPr>
        <w:spacing w:line="600" w:lineRule="exact"/>
        <w:ind w:firstLine="640" w:firstLineChars="200"/>
        <w:rPr>
          <w:rFonts w:hint="default" w:ascii="Times New Roman" w:hAnsi="Times New Roman" w:eastAsia="仿宋_GB2312" w:cs="Times New Roman"/>
          <w:bCs w:val="0"/>
          <w:color w:val="auto"/>
          <w:sz w:val="32"/>
          <w:szCs w:val="32"/>
          <w:highlight w:val="none"/>
          <w:u w:val="none"/>
          <w:lang w:eastAsia="zh-CN"/>
        </w:rPr>
      </w:pPr>
      <w:r>
        <w:rPr>
          <w:rFonts w:hint="default" w:ascii="Times New Roman" w:hAnsi="Times New Roman" w:eastAsia="仿宋_GB2312" w:cs="Times New Roman"/>
          <w:bCs w:val="0"/>
          <w:color w:val="auto"/>
          <w:sz w:val="32"/>
          <w:szCs w:val="32"/>
          <w:highlight w:val="none"/>
          <w:u w:val="none"/>
        </w:rPr>
        <w:t>完善按病种分值付费制度。完善总额预算管理下以按病种分值付费为主的多元复合式医保支付方式，执行全省统一的病种分值</w:t>
      </w:r>
      <w:r>
        <w:rPr>
          <w:rFonts w:hint="default" w:ascii="Times New Roman" w:hAnsi="Times New Roman" w:eastAsia="仿宋_GB2312" w:cs="Times New Roman"/>
          <w:bCs w:val="0"/>
          <w:color w:val="auto"/>
          <w:sz w:val="32"/>
          <w:szCs w:val="32"/>
          <w:highlight w:val="none"/>
          <w:u w:val="none"/>
          <w:shd w:val="clear" w:color="auto" w:fill="auto"/>
        </w:rPr>
        <w:t>库</w:t>
      </w:r>
      <w:r>
        <w:rPr>
          <w:rFonts w:hint="default" w:ascii="Times New Roman" w:hAnsi="Times New Roman" w:eastAsia="仿宋_GB2312" w:cs="Times New Roman"/>
          <w:bCs w:val="0"/>
          <w:color w:val="auto"/>
          <w:sz w:val="32"/>
          <w:szCs w:val="32"/>
          <w:highlight w:val="none"/>
          <w:u w:val="none"/>
        </w:rPr>
        <w:t>，结合地方实际</w:t>
      </w:r>
      <w:r>
        <w:rPr>
          <w:rFonts w:hint="default" w:ascii="Times New Roman" w:hAnsi="Times New Roman" w:eastAsia="仿宋_GB2312" w:cs="Times New Roman"/>
          <w:bCs w:val="0"/>
          <w:color w:val="auto"/>
          <w:sz w:val="32"/>
          <w:szCs w:val="32"/>
          <w:highlight w:val="none"/>
          <w:u w:val="none"/>
          <w:shd w:val="clear" w:color="auto" w:fill="auto"/>
        </w:rPr>
        <w:t>进行</w:t>
      </w:r>
      <w:r>
        <w:rPr>
          <w:rFonts w:hint="eastAsia" w:ascii="Times New Roman" w:hAnsi="Times New Roman" w:eastAsia="仿宋_GB2312" w:cs="Times New Roman"/>
          <w:bCs w:val="0"/>
          <w:color w:val="auto"/>
          <w:sz w:val="32"/>
          <w:szCs w:val="32"/>
          <w:highlight w:val="none"/>
          <w:u w:val="none"/>
          <w:shd w:val="clear" w:color="auto" w:fill="auto"/>
          <w:lang w:eastAsia="zh-CN"/>
        </w:rPr>
        <w:t>纠编</w:t>
      </w:r>
      <w:r>
        <w:rPr>
          <w:rFonts w:hint="default" w:ascii="Times New Roman" w:hAnsi="Times New Roman" w:eastAsia="仿宋_GB2312" w:cs="Times New Roman"/>
          <w:bCs w:val="0"/>
          <w:color w:val="auto"/>
          <w:sz w:val="32"/>
          <w:szCs w:val="32"/>
          <w:highlight w:val="none"/>
          <w:u w:val="none"/>
        </w:rPr>
        <w:t>调整并应用。</w:t>
      </w:r>
      <w:r>
        <w:rPr>
          <w:rFonts w:hint="eastAsia" w:ascii="Times New Roman" w:hAnsi="Times New Roman" w:eastAsia="仿宋_GB2312" w:cs="Times New Roman"/>
          <w:color w:val="auto"/>
          <w:kern w:val="2"/>
          <w:sz w:val="32"/>
          <w:szCs w:val="32"/>
          <w:highlight w:val="none"/>
          <w:lang w:val="en-US" w:eastAsia="zh-CN"/>
        </w:rPr>
        <w:t>推广按病种分值付费、按疾病诊断相关分组付费。</w:t>
      </w:r>
      <w:r>
        <w:rPr>
          <w:rFonts w:hint="default" w:ascii="Times New Roman" w:hAnsi="Times New Roman" w:eastAsia="仿宋_GB2312" w:cs="Times New Roman"/>
          <w:bCs w:val="0"/>
          <w:color w:val="auto"/>
          <w:sz w:val="32"/>
          <w:szCs w:val="32"/>
          <w:highlight w:val="none"/>
          <w:u w:val="none"/>
        </w:rPr>
        <w:t>支持基层医疗卫生机构发展，引导合理就医，促进基层首诊。研究推进符合中医药特点的医保支付方式，引导基层医疗机构提供适宜的中医药服务。积极推进紧密型县域</w:t>
      </w:r>
      <w:r>
        <w:rPr>
          <w:rFonts w:hint="default" w:ascii="Times New Roman" w:hAnsi="Times New Roman" w:eastAsia="仿宋_GB2312" w:cs="Times New Roman"/>
          <w:bCs w:val="0"/>
          <w:color w:val="auto"/>
          <w:sz w:val="32"/>
          <w:szCs w:val="32"/>
          <w:highlight w:val="none"/>
          <w:u w:val="none"/>
          <w:shd w:val="clear" w:color="auto" w:fill="auto"/>
        </w:rPr>
        <w:t>医</w:t>
      </w:r>
      <w:r>
        <w:rPr>
          <w:rFonts w:hint="default" w:ascii="Times New Roman" w:hAnsi="Times New Roman" w:eastAsia="仿宋_GB2312" w:cs="Times New Roman"/>
          <w:bCs w:val="0"/>
          <w:color w:val="auto"/>
          <w:sz w:val="32"/>
          <w:szCs w:val="32"/>
          <w:highlight w:val="none"/>
          <w:u w:val="none"/>
        </w:rPr>
        <w:t>共体以绩效为导向的医保支付方式综合改革试点。推进省内异地就医</w:t>
      </w:r>
      <w:r>
        <w:rPr>
          <w:rFonts w:hint="default" w:ascii="Times New Roman" w:hAnsi="Times New Roman" w:eastAsia="仿宋_GB2312" w:cs="Times New Roman"/>
          <w:bCs w:val="0"/>
          <w:color w:val="auto"/>
          <w:sz w:val="32"/>
          <w:szCs w:val="32"/>
          <w:highlight w:val="none"/>
          <w:u w:val="none"/>
          <w:shd w:val="clear" w:color="auto" w:fill="auto"/>
        </w:rPr>
        <w:t>按</w:t>
      </w:r>
      <w:r>
        <w:rPr>
          <w:rFonts w:hint="default" w:ascii="Times New Roman" w:hAnsi="Times New Roman" w:eastAsia="仿宋_GB2312" w:cs="Times New Roman"/>
          <w:bCs w:val="0"/>
          <w:color w:val="auto"/>
          <w:sz w:val="32"/>
          <w:szCs w:val="32"/>
          <w:highlight w:val="none"/>
          <w:u w:val="none"/>
        </w:rPr>
        <w:t>就医地支付方式付费，引导医疗机构合理诊疗，提高医保资金使用效能</w:t>
      </w:r>
      <w:r>
        <w:rPr>
          <w:rFonts w:hint="default" w:ascii="Times New Roman" w:hAnsi="Times New Roman" w:eastAsia="仿宋_GB2312" w:cs="Times New Roman"/>
          <w:bCs w:val="0"/>
          <w:color w:val="auto"/>
          <w:sz w:val="32"/>
          <w:szCs w:val="32"/>
          <w:highlight w:val="none"/>
          <w:u w:val="none"/>
          <w:lang w:eastAsia="zh-CN"/>
        </w:rPr>
        <w:t>。</w:t>
      </w:r>
    </w:p>
    <w:p>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Cs w:val="0"/>
          <w:color w:val="auto"/>
          <w:sz w:val="32"/>
          <w:szCs w:val="32"/>
          <w:highlight w:val="none"/>
          <w:u w:val="none"/>
        </w:rPr>
        <w:t>完</w:t>
      </w:r>
      <w:r>
        <w:rPr>
          <w:rFonts w:hint="default" w:ascii="Times New Roman" w:hAnsi="Times New Roman" w:eastAsia="仿宋_GB2312" w:cs="Times New Roman"/>
          <w:bCs/>
          <w:color w:val="auto"/>
          <w:sz w:val="32"/>
          <w:szCs w:val="32"/>
          <w:highlight w:val="none"/>
          <w:u w:val="none"/>
        </w:rPr>
        <w:t>善医保基金总额预算办法。</w:t>
      </w:r>
      <w:r>
        <w:rPr>
          <w:rFonts w:hint="default" w:ascii="Times New Roman" w:hAnsi="Times New Roman" w:eastAsia="仿宋_GB2312" w:cs="Times New Roman"/>
          <w:color w:val="auto"/>
          <w:sz w:val="32"/>
          <w:szCs w:val="32"/>
          <w:highlight w:val="none"/>
          <w:u w:val="none"/>
        </w:rPr>
        <w:t>健全医保经办机构与医疗机构之间协商谈判机制，科学制定总额预算，强化医保购买的方向引领，探索出医保定向购买更有质量、更具价值的医疗服务新模式。根据国家</w:t>
      </w:r>
      <w:r>
        <w:rPr>
          <w:rFonts w:hint="default" w:ascii="Times New Roman" w:hAnsi="Times New Roman" w:eastAsia="仿宋_GB2312" w:cs="Times New Roman"/>
          <w:color w:val="auto"/>
          <w:sz w:val="32"/>
          <w:szCs w:val="32"/>
          <w:highlight w:val="none"/>
          <w:u w:val="none"/>
          <w:lang w:eastAsia="zh-CN"/>
        </w:rPr>
        <w:t>和省的</w:t>
      </w:r>
      <w:r>
        <w:rPr>
          <w:rFonts w:hint="default" w:ascii="Times New Roman" w:hAnsi="Times New Roman" w:eastAsia="仿宋_GB2312" w:cs="Times New Roman"/>
          <w:color w:val="auto"/>
          <w:sz w:val="32"/>
          <w:szCs w:val="32"/>
          <w:highlight w:val="none"/>
          <w:u w:val="none"/>
        </w:rPr>
        <w:t>统一部署，将医疗康复、慢性精神疾病等纳入按床日付费范围</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kern w:val="2"/>
          <w:sz w:val="32"/>
          <w:szCs w:val="32"/>
          <w:highlight w:val="none"/>
          <w:lang w:val="en-US" w:eastAsia="zh-CN"/>
        </w:rPr>
        <w:t>深化门诊支付方式改革，完善普通门诊统筹按人头付费，</w:t>
      </w:r>
      <w:r>
        <w:rPr>
          <w:rFonts w:hint="default" w:ascii="Times New Roman" w:hAnsi="Times New Roman" w:eastAsia="仿宋_GB2312" w:cs="Times New Roman"/>
          <w:color w:val="auto"/>
          <w:sz w:val="32"/>
          <w:szCs w:val="32"/>
          <w:highlight w:val="none"/>
          <w:u w:val="none"/>
        </w:rPr>
        <w:t>探索</w:t>
      </w:r>
      <w:r>
        <w:rPr>
          <w:rFonts w:hint="eastAsia" w:ascii="Times New Roman" w:hAnsi="Times New Roman" w:eastAsia="仿宋_GB2312" w:cs="Times New Roman"/>
          <w:color w:val="auto"/>
          <w:sz w:val="32"/>
          <w:szCs w:val="32"/>
          <w:highlight w:val="none"/>
          <w:u w:val="none"/>
          <w:lang w:eastAsia="zh-CN"/>
        </w:rPr>
        <w:t>门诊特定病种</w:t>
      </w:r>
      <w:r>
        <w:rPr>
          <w:rFonts w:hint="eastAsia" w:ascii="Times New Roman" w:hAnsi="Times New Roman" w:eastAsia="仿宋_GB2312" w:cs="Times New Roman"/>
          <w:color w:val="auto"/>
          <w:kern w:val="2"/>
          <w:sz w:val="32"/>
          <w:szCs w:val="32"/>
          <w:highlight w:val="none"/>
          <w:lang w:val="en-US" w:eastAsia="zh-CN"/>
        </w:rPr>
        <w:t>按人头或病种付费</w:t>
      </w:r>
      <w:r>
        <w:rPr>
          <w:rFonts w:hint="default" w:ascii="Times New Roman" w:hAnsi="Times New Roman" w:eastAsia="仿宋_GB2312" w:cs="Times New Roman"/>
          <w:color w:val="auto"/>
          <w:sz w:val="32"/>
          <w:szCs w:val="32"/>
          <w:highlight w:val="none"/>
          <w:u w:val="none"/>
        </w:rPr>
        <w:t>。</w:t>
      </w:r>
    </w:p>
    <w:p>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Cs/>
          <w:color w:val="auto"/>
          <w:sz w:val="32"/>
          <w:szCs w:val="32"/>
          <w:highlight w:val="none"/>
          <w:u w:val="none"/>
        </w:rPr>
        <w:t>推进医保支付方式综合改革。</w:t>
      </w:r>
      <w:r>
        <w:rPr>
          <w:rFonts w:hint="default" w:ascii="Times New Roman" w:hAnsi="Times New Roman" w:eastAsia="仿宋_GB2312" w:cs="Times New Roman"/>
          <w:color w:val="auto"/>
          <w:sz w:val="32"/>
          <w:szCs w:val="32"/>
          <w:highlight w:val="none"/>
          <w:u w:val="none"/>
        </w:rPr>
        <w:t>扩展完善适宜基层医疗机构开展的病种范围。将家庭医生提供的基本医疗服务纳入医保支付范围，助力建立并完善家庭医生签约服务和慢性病管理服务，推动医疗卫生服务</w:t>
      </w:r>
      <w:r>
        <w:rPr>
          <w:rFonts w:hint="default" w:ascii="Times New Roman" w:hAnsi="Times New Roman" w:eastAsia="仿宋_GB2312" w:cs="Times New Roman"/>
          <w:color w:val="auto"/>
          <w:sz w:val="32"/>
          <w:szCs w:val="32"/>
          <w:highlight w:val="none"/>
          <w:u w:val="none"/>
          <w:shd w:val="clear" w:color="auto" w:fill="auto"/>
        </w:rPr>
        <w:t>从</w:t>
      </w:r>
      <w:r>
        <w:rPr>
          <w:rFonts w:hint="eastAsia" w:ascii="Times New Roman" w:hAnsi="Times New Roman"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重医疗</w:t>
      </w:r>
      <w:r>
        <w:rPr>
          <w:rFonts w:hint="eastAsia" w:ascii="Times New Roman" w:hAnsi="Times New Roman"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向</w:t>
      </w:r>
      <w:r>
        <w:rPr>
          <w:rFonts w:hint="eastAsia" w:ascii="Times New Roman" w:hAnsi="Times New Roman"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重预防</w:t>
      </w:r>
      <w:r>
        <w:rPr>
          <w:rFonts w:hint="eastAsia" w:ascii="Times New Roman" w:hAnsi="Times New Roman"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的方向发展。</w:t>
      </w:r>
    </w:p>
    <w:p>
      <w:pPr>
        <w:pStyle w:val="18"/>
        <w:spacing w:line="600" w:lineRule="exact"/>
        <w:ind w:left="0" w:leftChars="0"/>
        <w:rPr>
          <w:rFonts w:hint="default" w:ascii="Times New Roman" w:hAnsi="Times New Roman" w:eastAsia="仿宋_GB2312" w:cs="Times New Roman"/>
          <w:color w:val="auto"/>
          <w:sz w:val="32"/>
          <w:szCs w:val="32"/>
          <w:highlight w:val="none"/>
          <w:u w:val="none"/>
        </w:rPr>
      </w:pPr>
    </w:p>
    <w:p>
      <w:pPr>
        <w:spacing w:line="600" w:lineRule="exact"/>
        <w:rPr>
          <w:rFonts w:hint="default" w:ascii="Times New Roman" w:hAnsi="Times New Roman" w:cs="Times New Roman"/>
          <w:color w:val="auto"/>
          <w:highlight w:val="none"/>
          <w:u w:val="none"/>
        </w:rPr>
      </w:pPr>
    </w:p>
    <w:tbl>
      <w:tblPr>
        <w:tblStyle w:val="13"/>
        <w:tblpPr w:leftFromText="180" w:rightFromText="180" w:vertAnchor="text" w:horzAnchor="page" w:tblpX="1725" w:tblpY="34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9080" w:type="dxa"/>
            <w:tcBorders>
              <w:top w:val="single" w:color="auto" w:sz="4" w:space="0"/>
              <w:left w:val="single" w:color="auto" w:sz="4" w:space="0"/>
              <w:bottom w:val="single" w:color="auto" w:sz="4" w:space="0"/>
              <w:right w:val="single" w:color="auto" w:sz="4" w:space="0"/>
            </w:tcBorders>
            <w:noWrap w:val="0"/>
            <w:vAlign w:val="center"/>
          </w:tcPr>
          <w:p>
            <w:pPr>
              <w:pStyle w:val="3"/>
              <w:spacing w:line="600" w:lineRule="exact"/>
              <w:jc w:val="center"/>
              <w:outlineLvl w:val="1"/>
              <w:rPr>
                <w:rFonts w:hint="default" w:ascii="Times New Roman" w:hAnsi="Times New Roman" w:cs="Times New Roman"/>
                <w:b w:val="0"/>
                <w:bCs/>
                <w:color w:val="auto"/>
                <w:szCs w:val="32"/>
                <w:highlight w:val="none"/>
                <w:u w:val="none"/>
              </w:rPr>
            </w:pPr>
            <w:r>
              <w:rPr>
                <w:rFonts w:hint="eastAsia" w:ascii="仿宋_GB2312" w:hAnsi="仿宋_GB2312" w:eastAsia="仿宋_GB2312" w:cs="仿宋_GB2312"/>
                <w:bCs/>
                <w:color w:val="auto"/>
                <w:sz w:val="32"/>
                <w:szCs w:val="32"/>
                <w:highlight w:val="none"/>
                <w:u w:val="none"/>
              </w:rPr>
              <w:t>专栏4  医保支付机制重点项目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9080"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snapToGrid/>
              <w:spacing w:line="600" w:lineRule="exact"/>
              <w:ind w:firstLine="480" w:firstLineChars="200"/>
              <w:textAlignment w:val="auto"/>
              <w:rPr>
                <w:rFonts w:hint="default" w:ascii="Times New Roman" w:hAnsi="Times New Roman" w:eastAsia="宋体" w:cs="Times New Roman"/>
                <w:color w:val="auto"/>
                <w:highlight w:val="none"/>
                <w:u w:val="none"/>
              </w:rPr>
            </w:pPr>
            <w:r>
              <w:rPr>
                <w:rFonts w:hint="eastAsia" w:ascii="仿宋_GB2312" w:hAnsi="仿宋_GB2312" w:eastAsia="仿宋_GB2312" w:cs="仿宋_GB2312"/>
                <w:color w:val="auto"/>
                <w:kern w:val="2"/>
                <w:sz w:val="24"/>
                <w:szCs w:val="24"/>
                <w:highlight w:val="none"/>
                <w:u w:val="none"/>
                <w:lang w:val="en-US" w:eastAsia="zh-CN" w:bidi="ar-SA"/>
              </w:rPr>
              <w:t>完善基本医疗保险制度。落实医保支付方式改革，完善总额预算管理下以按病种分值付费为主的多元复合式医保支付方式，依据国家和省的统一部署，积极探索推进紧密型医联体以绩效为导向的医保支付方式综合改革试点。</w:t>
            </w:r>
          </w:p>
        </w:tc>
      </w:tr>
    </w:tbl>
    <w:p>
      <w:pPr>
        <w:pStyle w:val="3"/>
        <w:numPr>
          <w:ilvl w:val="0"/>
          <w:numId w:val="0"/>
        </w:numPr>
        <w:spacing w:before="0" w:beforeLines="0" w:after="0" w:afterLines="0" w:line="600" w:lineRule="exact"/>
        <w:ind w:leftChars="0"/>
        <w:jc w:val="both"/>
        <w:outlineLvl w:val="0"/>
        <w:rPr>
          <w:rStyle w:val="15"/>
          <w:rFonts w:hint="default" w:ascii="Times New Roman" w:hAnsi="Times New Roman" w:eastAsia="方正小标宋简体" w:cs="Times New Roman"/>
          <w:b w:val="0"/>
          <w:color w:val="auto"/>
          <w:sz w:val="36"/>
          <w:szCs w:val="36"/>
          <w:highlight w:val="none"/>
          <w:u w:val="none"/>
        </w:rPr>
      </w:pPr>
    </w:p>
    <w:p>
      <w:pPr>
        <w:spacing w:line="600" w:lineRule="exact"/>
        <w:rPr>
          <w:rStyle w:val="15"/>
          <w:rFonts w:hint="default" w:ascii="Times New Roman" w:hAnsi="Times New Roman" w:eastAsia="方正小标宋简体" w:cs="Times New Roman"/>
          <w:b w:val="0"/>
          <w:color w:val="auto"/>
          <w:sz w:val="36"/>
          <w:szCs w:val="36"/>
          <w:highlight w:val="none"/>
          <w:u w:val="none"/>
        </w:rPr>
      </w:pPr>
    </w:p>
    <w:p>
      <w:pPr>
        <w:pStyle w:val="3"/>
        <w:numPr>
          <w:ilvl w:val="0"/>
          <w:numId w:val="1"/>
        </w:numPr>
        <w:spacing w:before="0" w:beforeLines="0" w:after="0" w:afterLines="0" w:line="600" w:lineRule="exact"/>
        <w:ind w:left="0" w:firstLine="0"/>
        <w:jc w:val="center"/>
        <w:outlineLvl w:val="0"/>
        <w:rPr>
          <w:rStyle w:val="15"/>
          <w:rFonts w:hint="default" w:ascii="Times New Roman" w:hAnsi="Times New Roman" w:eastAsia="方正小标宋简体" w:cs="Times New Roman"/>
          <w:b w:val="0"/>
          <w:color w:val="auto"/>
          <w:sz w:val="36"/>
          <w:szCs w:val="36"/>
          <w:highlight w:val="none"/>
          <w:u w:val="none"/>
        </w:rPr>
      </w:pPr>
      <w:r>
        <w:rPr>
          <w:rStyle w:val="15"/>
          <w:rFonts w:hint="default" w:ascii="Times New Roman" w:hAnsi="Times New Roman" w:eastAsia="方正小标宋简体" w:cs="Times New Roman"/>
          <w:b w:val="0"/>
          <w:color w:val="auto"/>
          <w:sz w:val="36"/>
          <w:szCs w:val="36"/>
          <w:highlight w:val="none"/>
          <w:u w:val="none"/>
        </w:rPr>
        <w:br w:type="page"/>
      </w:r>
      <w:r>
        <w:rPr>
          <w:rStyle w:val="15"/>
          <w:rFonts w:hint="default" w:ascii="Times New Roman" w:hAnsi="Times New Roman" w:eastAsia="方正小标宋简体" w:cs="Times New Roman"/>
          <w:b w:val="0"/>
          <w:color w:val="auto"/>
          <w:sz w:val="36"/>
          <w:szCs w:val="36"/>
          <w:highlight w:val="none"/>
          <w:u w:val="none"/>
        </w:rPr>
        <w:t xml:space="preserve">  健全严密有力的基金监管机制</w:t>
      </w:r>
    </w:p>
    <w:p>
      <w:pPr>
        <w:pStyle w:val="3"/>
        <w:numPr>
          <w:ilvl w:val="0"/>
          <w:numId w:val="0"/>
        </w:numPr>
        <w:spacing w:before="0" w:beforeLines="0" w:after="0" w:afterLines="0" w:line="600" w:lineRule="exact"/>
        <w:ind w:left="0" w:firstLine="0"/>
        <w:jc w:val="both"/>
        <w:outlineLvl w:val="0"/>
        <w:rPr>
          <w:rStyle w:val="15"/>
          <w:rFonts w:hint="default" w:ascii="Times New Roman" w:hAnsi="Times New Roman" w:eastAsia="方正小标宋简体" w:cs="Times New Roman"/>
          <w:b w:val="0"/>
          <w:color w:val="auto"/>
          <w:sz w:val="36"/>
          <w:szCs w:val="36"/>
          <w:highlight w:val="none"/>
          <w:u w:val="none"/>
        </w:rPr>
      </w:pPr>
    </w:p>
    <w:p>
      <w:pPr>
        <w:pStyle w:val="4"/>
        <w:spacing w:before="0" w:beforeLines="0" w:after="0" w:afterLines="0" w:line="600" w:lineRule="exact"/>
        <w:jc w:val="center"/>
        <w:outlineLvl w:val="1"/>
        <w:rPr>
          <w:rFonts w:hint="default" w:ascii="Times New Roman" w:hAnsi="Times New Roman" w:eastAsia="黑体" w:cs="Times New Roman"/>
          <w:b w:val="0"/>
          <w:bCs/>
          <w:color w:val="auto"/>
          <w:sz w:val="32"/>
          <w:szCs w:val="32"/>
          <w:highlight w:val="none"/>
          <w:u w:val="none"/>
        </w:rPr>
      </w:pPr>
      <w:r>
        <w:rPr>
          <w:rFonts w:hint="default" w:ascii="Times New Roman" w:hAnsi="Times New Roman" w:eastAsia="黑体" w:cs="Times New Roman"/>
          <w:b w:val="0"/>
          <w:bCs/>
          <w:color w:val="auto"/>
          <w:sz w:val="32"/>
          <w:szCs w:val="32"/>
          <w:highlight w:val="none"/>
          <w:u w:val="none"/>
        </w:rPr>
        <w:t>第一节 创新医疗保障基金监管方式</w:t>
      </w:r>
    </w:p>
    <w:p>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Cs/>
          <w:color w:val="auto"/>
          <w:sz w:val="32"/>
          <w:szCs w:val="32"/>
          <w:highlight w:val="none"/>
          <w:u w:val="none"/>
        </w:rPr>
        <w:t>建立健全监督检查制度。</w:t>
      </w:r>
      <w:r>
        <w:rPr>
          <w:rFonts w:hint="default" w:ascii="Times New Roman" w:hAnsi="Times New Roman" w:eastAsia="仿宋_GB2312" w:cs="Times New Roman"/>
          <w:color w:val="auto"/>
          <w:sz w:val="32"/>
          <w:szCs w:val="32"/>
          <w:highlight w:val="none"/>
          <w:u w:val="none"/>
        </w:rPr>
        <w:t>推行</w:t>
      </w:r>
      <w:r>
        <w:rPr>
          <w:rFonts w:hint="eastAsia" w:ascii="Times New Roman" w:hAnsi="Times New Roman"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双随机、一公开</w:t>
      </w:r>
      <w:r>
        <w:rPr>
          <w:rFonts w:hint="eastAsia" w:ascii="Times New Roman" w:hAnsi="Times New Roman"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的监管机制，建立和完善日常巡查、专项检查、专家审查等多形式相结合的检查制度，明确检查对象、检查重点和检查内容。规范启动条件、工作要求和工作流程，明确各方权利义务，确保公开、公平、公正。建立部门联动机制，开展联合检查。健全部门间信息共享、协同执法、联防联动、行刑衔接和</w:t>
      </w:r>
      <w:r>
        <w:rPr>
          <w:rFonts w:hint="eastAsia" w:ascii="Times New Roman" w:hAnsi="Times New Roman" w:eastAsia="仿宋_GB2312" w:cs="Times New Roman"/>
          <w:color w:val="auto"/>
          <w:sz w:val="32"/>
          <w:szCs w:val="32"/>
          <w:highlight w:val="none"/>
          <w:u w:val="none"/>
          <w:lang w:eastAsia="zh-CN"/>
        </w:rPr>
        <w:t>行纪</w:t>
      </w:r>
      <w:r>
        <w:rPr>
          <w:rFonts w:hint="default" w:ascii="Times New Roman" w:hAnsi="Times New Roman" w:eastAsia="仿宋_GB2312" w:cs="Times New Roman"/>
          <w:color w:val="auto"/>
          <w:sz w:val="32"/>
          <w:szCs w:val="32"/>
          <w:highlight w:val="none"/>
          <w:u w:val="none"/>
        </w:rPr>
        <w:t>衔接等工作制度，形成综合监管合力。积极引入信息技术服务机构、商业保险机构、会计师事务所等第三方力量参与医疗保障基金监管，建立和完善政府购买服务制度，</w:t>
      </w:r>
      <w:r>
        <w:rPr>
          <w:rFonts w:hint="default" w:ascii="Times New Roman" w:hAnsi="Times New Roman" w:eastAsia="仿宋_GB2312" w:cs="Times New Roman"/>
          <w:color w:val="auto"/>
          <w:sz w:val="32"/>
          <w:szCs w:val="32"/>
          <w:highlight w:val="none"/>
          <w:u w:val="none"/>
          <w:lang w:eastAsia="zh-CN"/>
        </w:rPr>
        <w:t>探索</w:t>
      </w:r>
      <w:r>
        <w:rPr>
          <w:rFonts w:hint="default" w:ascii="Times New Roman" w:hAnsi="Times New Roman" w:eastAsia="仿宋_GB2312" w:cs="Times New Roman"/>
          <w:color w:val="auto"/>
          <w:sz w:val="32"/>
          <w:szCs w:val="32"/>
          <w:highlight w:val="none"/>
          <w:u w:val="none"/>
        </w:rPr>
        <w:t>推行按服务绩效付费，提升监管的专业性、精准性和效</w:t>
      </w:r>
      <w:r>
        <w:rPr>
          <w:rFonts w:hint="default" w:ascii="Times New Roman" w:hAnsi="Times New Roman" w:eastAsia="仿宋_GB2312" w:cs="Times New Roman"/>
          <w:color w:val="auto"/>
          <w:sz w:val="32"/>
          <w:szCs w:val="32"/>
          <w:highlight w:val="none"/>
          <w:u w:val="none"/>
          <w:lang w:eastAsia="zh-CN"/>
        </w:rPr>
        <w:t>率</w:t>
      </w:r>
      <w:r>
        <w:rPr>
          <w:rFonts w:hint="default" w:ascii="Times New Roman" w:hAnsi="Times New Roman" w:eastAsia="仿宋_GB2312" w:cs="Times New Roman"/>
          <w:color w:val="auto"/>
          <w:sz w:val="32"/>
          <w:szCs w:val="32"/>
          <w:highlight w:val="none"/>
          <w:u w:val="none"/>
        </w:rPr>
        <w:t>性。</w:t>
      </w:r>
    </w:p>
    <w:p>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Cs/>
          <w:color w:val="auto"/>
          <w:sz w:val="32"/>
          <w:szCs w:val="32"/>
          <w:highlight w:val="none"/>
          <w:u w:val="none"/>
        </w:rPr>
        <w:t>建立完善医疗保障基金监管工作机制，规范医保基金监督管理。</w:t>
      </w:r>
      <w:r>
        <w:rPr>
          <w:rFonts w:hint="default" w:ascii="Times New Roman" w:hAnsi="Times New Roman" w:eastAsia="仿宋_GB2312" w:cs="Times New Roman"/>
          <w:color w:val="auto"/>
          <w:sz w:val="32"/>
          <w:szCs w:val="32"/>
          <w:highlight w:val="none"/>
          <w:u w:val="none"/>
        </w:rPr>
        <w:t>厘清行政监管和经办管理的职责定位，制定医疗保障部门的行政执法和经办协议管理工作指引，规范和细化对用人单位、定点医药机构、参保人的参保缴费、检查、违法违规行为的调查取证、认定和处罚，使医疗保障监管行为更加严谨和规范化。</w:t>
      </w:r>
    </w:p>
    <w:p>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Cs/>
          <w:color w:val="auto"/>
          <w:sz w:val="32"/>
          <w:szCs w:val="32"/>
          <w:highlight w:val="none"/>
          <w:u w:val="none"/>
        </w:rPr>
        <w:t>健全社会监督制度。</w:t>
      </w:r>
      <w:r>
        <w:rPr>
          <w:rFonts w:hint="default" w:ascii="Times New Roman" w:hAnsi="Times New Roman" w:eastAsia="仿宋_GB2312" w:cs="Times New Roman"/>
          <w:color w:val="auto"/>
          <w:sz w:val="32"/>
          <w:szCs w:val="32"/>
          <w:highlight w:val="none"/>
          <w:u w:val="none"/>
        </w:rPr>
        <w:t>鼓励和支持社会各界参与医疗保障基金监督，实现政府监管和社会监督、舆论监督良性互动。建立信息披露制度，经办机构定期向社会</w:t>
      </w:r>
      <w:r>
        <w:rPr>
          <w:rFonts w:hint="default" w:ascii="Times New Roman" w:hAnsi="Times New Roman" w:eastAsia="仿宋_GB2312" w:cs="Times New Roman"/>
          <w:color w:val="auto"/>
          <w:sz w:val="32"/>
          <w:szCs w:val="32"/>
          <w:highlight w:val="none"/>
          <w:u w:val="none"/>
          <w:lang w:eastAsia="zh-CN"/>
        </w:rPr>
        <w:t>公开</w:t>
      </w:r>
      <w:r>
        <w:rPr>
          <w:rFonts w:hint="default" w:ascii="Times New Roman" w:hAnsi="Times New Roman" w:eastAsia="仿宋_GB2312" w:cs="Times New Roman"/>
          <w:color w:val="auto"/>
          <w:sz w:val="32"/>
          <w:szCs w:val="32"/>
          <w:highlight w:val="none"/>
          <w:u w:val="none"/>
        </w:rPr>
        <w:t>医疗保障基金的收支、结余和收益情况，接受社会监督。完善对医疗服务的监控机制，建立信息强制披露制度，</w:t>
      </w:r>
      <w:r>
        <w:rPr>
          <w:rFonts w:hint="default" w:ascii="Times New Roman" w:hAnsi="Times New Roman" w:eastAsia="仿宋_GB2312" w:cs="Times New Roman"/>
          <w:color w:val="auto"/>
          <w:sz w:val="32"/>
          <w:szCs w:val="32"/>
          <w:highlight w:val="none"/>
          <w:u w:val="none"/>
          <w:lang w:eastAsia="zh-CN"/>
        </w:rPr>
        <w:t>督促定点医疗机构</w:t>
      </w:r>
      <w:r>
        <w:rPr>
          <w:rFonts w:hint="default" w:ascii="Times New Roman" w:hAnsi="Times New Roman" w:eastAsia="仿宋_GB2312" w:cs="Times New Roman"/>
          <w:color w:val="auto"/>
          <w:sz w:val="32"/>
          <w:szCs w:val="32"/>
          <w:highlight w:val="none"/>
          <w:u w:val="none"/>
        </w:rPr>
        <w:t>依法依规向社会公开医药费用、费用结构等信息。建立医疗保障基金社会监督员制度，聘请人大代表、政协委员</w:t>
      </w:r>
      <w:r>
        <w:rPr>
          <w:rFonts w:hint="default" w:ascii="Times New Roman" w:hAnsi="Times New Roman" w:eastAsia="仿宋_GB2312" w:cs="Times New Roman"/>
          <w:color w:val="auto"/>
          <w:sz w:val="32"/>
          <w:szCs w:val="32"/>
          <w:highlight w:val="none"/>
          <w:u w:val="none"/>
          <w:lang w:eastAsia="zh-CN"/>
        </w:rPr>
        <w:t>等社会各界人士</w:t>
      </w:r>
      <w:r>
        <w:rPr>
          <w:rFonts w:hint="default" w:ascii="Times New Roman" w:hAnsi="Times New Roman" w:eastAsia="仿宋_GB2312" w:cs="Times New Roman"/>
          <w:color w:val="auto"/>
          <w:sz w:val="32"/>
          <w:szCs w:val="32"/>
          <w:highlight w:val="none"/>
          <w:u w:val="none"/>
        </w:rPr>
        <w:t>等担任社会监督员，对定点医药机构、经办机构、参保人员等进行监督。主动邀请新闻媒体参与飞行检查、明察暗访等工作，通过新闻发布会、媒体通气会等形式，</w:t>
      </w:r>
      <w:r>
        <w:rPr>
          <w:rFonts w:hint="default" w:ascii="Times New Roman" w:hAnsi="Times New Roman" w:eastAsia="仿宋_GB2312" w:cs="Times New Roman"/>
          <w:color w:val="auto"/>
          <w:sz w:val="32"/>
          <w:szCs w:val="32"/>
          <w:highlight w:val="none"/>
          <w:u w:val="none"/>
          <w:lang w:eastAsia="zh-CN"/>
        </w:rPr>
        <w:t>通报</w:t>
      </w:r>
      <w:r>
        <w:rPr>
          <w:rFonts w:hint="default" w:ascii="Times New Roman" w:hAnsi="Times New Roman" w:eastAsia="仿宋_GB2312" w:cs="Times New Roman"/>
          <w:color w:val="auto"/>
          <w:sz w:val="32"/>
          <w:szCs w:val="32"/>
          <w:highlight w:val="none"/>
          <w:u w:val="none"/>
        </w:rPr>
        <w:t>打击欺诈骗保成果及</w:t>
      </w:r>
      <w:r>
        <w:rPr>
          <w:rFonts w:hint="default" w:ascii="Times New Roman" w:hAnsi="Times New Roman" w:eastAsia="仿宋_GB2312" w:cs="Times New Roman"/>
          <w:color w:val="auto"/>
          <w:sz w:val="32"/>
          <w:szCs w:val="32"/>
          <w:highlight w:val="none"/>
          <w:u w:val="none"/>
          <w:lang w:eastAsia="zh-CN"/>
        </w:rPr>
        <w:t>曝光</w:t>
      </w:r>
      <w:r>
        <w:rPr>
          <w:rFonts w:hint="default" w:ascii="Times New Roman" w:hAnsi="Times New Roman" w:eastAsia="仿宋_GB2312" w:cs="Times New Roman"/>
          <w:color w:val="auto"/>
          <w:sz w:val="32"/>
          <w:szCs w:val="32"/>
          <w:highlight w:val="none"/>
          <w:u w:val="none"/>
        </w:rPr>
        <w:t>典型案件。</w:t>
      </w:r>
    </w:p>
    <w:p>
      <w:pPr>
        <w:spacing w:line="600" w:lineRule="exact"/>
        <w:ind w:firstLine="640" w:firstLineChars="200"/>
        <w:rPr>
          <w:rFonts w:hint="default" w:ascii="Times New Roman" w:hAnsi="Times New Roman" w:eastAsia="仿宋_GB2312" w:cs="Times New Roman"/>
          <w:color w:val="auto"/>
          <w:sz w:val="32"/>
          <w:szCs w:val="32"/>
          <w:highlight w:val="none"/>
          <w:u w:val="none"/>
        </w:rPr>
      </w:pPr>
    </w:p>
    <w:p>
      <w:pPr>
        <w:pStyle w:val="4"/>
        <w:spacing w:before="0" w:beforeLines="0" w:after="0" w:afterLines="0" w:line="600" w:lineRule="exact"/>
        <w:jc w:val="center"/>
        <w:outlineLvl w:val="1"/>
        <w:rPr>
          <w:rFonts w:hint="default" w:ascii="Times New Roman" w:hAnsi="Times New Roman" w:eastAsia="黑体" w:cs="Times New Roman"/>
          <w:b w:val="0"/>
          <w:bCs/>
          <w:color w:val="auto"/>
          <w:sz w:val="32"/>
          <w:szCs w:val="32"/>
          <w:highlight w:val="none"/>
          <w:u w:val="none"/>
        </w:rPr>
      </w:pPr>
      <w:r>
        <w:rPr>
          <w:rFonts w:hint="default" w:ascii="Times New Roman" w:hAnsi="Times New Roman" w:eastAsia="黑体" w:cs="Times New Roman"/>
          <w:b w:val="0"/>
          <w:bCs/>
          <w:color w:val="auto"/>
          <w:sz w:val="32"/>
          <w:szCs w:val="32"/>
          <w:highlight w:val="none"/>
          <w:u w:val="none"/>
        </w:rPr>
        <w:t>第二节 发展医疗保障基金智能监控</w:t>
      </w:r>
    </w:p>
    <w:p>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Cs/>
          <w:color w:val="auto"/>
          <w:sz w:val="32"/>
          <w:szCs w:val="32"/>
          <w:highlight w:val="none"/>
          <w:u w:val="none"/>
        </w:rPr>
        <w:t>加快推进医疗保障标准化和信息化建设。</w:t>
      </w:r>
      <w:r>
        <w:rPr>
          <w:rFonts w:hint="default" w:ascii="Times New Roman" w:hAnsi="Times New Roman" w:eastAsia="仿宋_GB2312" w:cs="Times New Roman"/>
          <w:color w:val="auto"/>
          <w:sz w:val="32"/>
          <w:szCs w:val="32"/>
          <w:highlight w:val="none"/>
          <w:u w:val="none"/>
        </w:rPr>
        <w:t>落实政务信息系统</w:t>
      </w:r>
      <w:r>
        <w:rPr>
          <w:rFonts w:hint="default" w:ascii="Times New Roman" w:hAnsi="Times New Roman" w:eastAsia="仿宋_GB2312" w:cs="Times New Roman"/>
          <w:color w:val="auto"/>
          <w:sz w:val="32"/>
          <w:szCs w:val="32"/>
          <w:highlight w:val="none"/>
          <w:u w:val="none"/>
          <w:lang w:eastAsia="zh-CN"/>
        </w:rPr>
        <w:t>对接整</w:t>
      </w:r>
      <w:r>
        <w:rPr>
          <w:rFonts w:hint="default" w:ascii="Times New Roman" w:hAnsi="Times New Roman" w:eastAsia="仿宋_GB2312" w:cs="Times New Roman"/>
          <w:color w:val="auto"/>
          <w:sz w:val="32"/>
          <w:szCs w:val="32"/>
          <w:highlight w:val="none"/>
          <w:u w:val="none"/>
        </w:rPr>
        <w:t>合共享要求，做好与原有相关系统的衔接，加强部门间信息交换和共享。</w:t>
      </w:r>
      <w:r>
        <w:rPr>
          <w:rFonts w:hint="default" w:ascii="Times New Roman" w:hAnsi="Times New Roman" w:eastAsia="仿宋_GB2312" w:cs="Times New Roman"/>
          <w:color w:val="auto"/>
          <w:sz w:val="32"/>
          <w:szCs w:val="32"/>
          <w:highlight w:val="none"/>
          <w:u w:val="none"/>
          <w:lang w:eastAsia="zh-CN"/>
        </w:rPr>
        <w:t>拓展</w:t>
      </w:r>
      <w:r>
        <w:rPr>
          <w:rFonts w:hint="default" w:ascii="Times New Roman" w:hAnsi="Times New Roman" w:eastAsia="仿宋_GB2312" w:cs="Times New Roman"/>
          <w:color w:val="auto"/>
          <w:sz w:val="32"/>
          <w:szCs w:val="32"/>
          <w:highlight w:val="none"/>
          <w:u w:val="none"/>
        </w:rPr>
        <w:t>和完善医疗保障智能监控系统</w:t>
      </w:r>
      <w:r>
        <w:rPr>
          <w:rFonts w:hint="default" w:ascii="Times New Roman" w:hAnsi="Times New Roman" w:eastAsia="仿宋_GB2312" w:cs="Times New Roman"/>
          <w:color w:val="auto"/>
          <w:sz w:val="32"/>
          <w:szCs w:val="32"/>
          <w:highlight w:val="none"/>
          <w:u w:val="none"/>
          <w:lang w:eastAsia="zh-CN"/>
        </w:rPr>
        <w:t>的应用</w:t>
      </w:r>
      <w:r>
        <w:rPr>
          <w:rFonts w:hint="default" w:ascii="Times New Roman" w:hAnsi="Times New Roman" w:eastAsia="仿宋_GB2312" w:cs="Times New Roman"/>
          <w:bCs/>
          <w:color w:val="auto"/>
          <w:sz w:val="32"/>
          <w:szCs w:val="32"/>
          <w:highlight w:val="none"/>
          <w:u w:val="none"/>
        </w:rPr>
        <w:t>。</w:t>
      </w:r>
      <w:r>
        <w:rPr>
          <w:rFonts w:hint="default" w:ascii="Times New Roman" w:hAnsi="Times New Roman" w:eastAsia="仿宋_GB2312" w:cs="Times New Roman"/>
          <w:color w:val="auto"/>
          <w:sz w:val="32"/>
          <w:szCs w:val="32"/>
          <w:highlight w:val="none"/>
          <w:u w:val="none"/>
        </w:rPr>
        <w:t>加强大数据应用，实现与定点医药机构信息系统的对接。加强对定点医疗机构临床诊疗行为的引导和审核，将医疗保障监控关口前移，及时阻断医疗机构的不规范医疗行为。推进异地就医、购药即时结算，实现结算数据全部上线。</w:t>
      </w:r>
    </w:p>
    <w:p>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Cs/>
          <w:color w:val="auto"/>
          <w:sz w:val="32"/>
          <w:szCs w:val="32"/>
          <w:highlight w:val="none"/>
          <w:u w:val="none"/>
        </w:rPr>
        <w:t>着力提升智能监控功能。</w:t>
      </w:r>
      <w:r>
        <w:rPr>
          <w:rFonts w:hint="default" w:ascii="Times New Roman" w:hAnsi="Times New Roman" w:eastAsia="仿宋_GB2312" w:cs="Times New Roman"/>
          <w:color w:val="auto"/>
          <w:sz w:val="32"/>
          <w:szCs w:val="32"/>
          <w:highlight w:val="none"/>
          <w:u w:val="none"/>
        </w:rPr>
        <w:t>针对欺诈骗保行为的新特点，按照国家和省的部署，落实</w:t>
      </w:r>
      <w:r>
        <w:rPr>
          <w:rFonts w:hint="default" w:ascii="Times New Roman" w:hAnsi="Times New Roman" w:eastAsia="仿宋_GB2312" w:cs="Times New Roman"/>
          <w:color w:val="auto"/>
          <w:sz w:val="32"/>
          <w:szCs w:val="32"/>
          <w:highlight w:val="none"/>
          <w:u w:val="none"/>
          <w:lang w:eastAsia="zh-CN"/>
        </w:rPr>
        <w:t>和</w:t>
      </w:r>
      <w:r>
        <w:rPr>
          <w:rFonts w:hint="default" w:ascii="Times New Roman" w:hAnsi="Times New Roman" w:eastAsia="仿宋_GB2312" w:cs="Times New Roman"/>
          <w:color w:val="auto"/>
          <w:sz w:val="32"/>
          <w:szCs w:val="32"/>
          <w:highlight w:val="none"/>
          <w:u w:val="none"/>
        </w:rPr>
        <w:t>完善医药标准目录等基础信息标准库、临床指南等临床诊疗知识库</w:t>
      </w:r>
      <w:r>
        <w:rPr>
          <w:rFonts w:hint="default" w:ascii="Times New Roman" w:hAnsi="Times New Roman" w:eastAsia="仿宋_GB2312" w:cs="Times New Roman"/>
          <w:color w:val="auto"/>
          <w:sz w:val="32"/>
          <w:szCs w:val="32"/>
          <w:highlight w:val="none"/>
          <w:u w:val="none"/>
          <w:lang w:eastAsia="zh-CN"/>
        </w:rPr>
        <w:t>应用</w:t>
      </w:r>
      <w:r>
        <w:rPr>
          <w:rFonts w:hint="default" w:ascii="Times New Roman" w:hAnsi="Times New Roman" w:eastAsia="仿宋_GB2312" w:cs="Times New Roman"/>
          <w:color w:val="auto"/>
          <w:sz w:val="32"/>
          <w:szCs w:val="32"/>
          <w:highlight w:val="none"/>
          <w:u w:val="none"/>
        </w:rPr>
        <w:t>，进一步完善诊疗规范类、医保政策类、就诊情况真实性类等不同规则库，提高智能监控的覆盖面和精准度。</w:t>
      </w:r>
    </w:p>
    <w:p>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Cs/>
          <w:color w:val="auto"/>
          <w:sz w:val="32"/>
          <w:szCs w:val="32"/>
          <w:highlight w:val="none"/>
          <w:u w:val="none"/>
        </w:rPr>
        <w:t>丰富智能监测维度。</w:t>
      </w:r>
      <w:r>
        <w:rPr>
          <w:rFonts w:hint="default" w:ascii="Times New Roman" w:hAnsi="Times New Roman" w:eastAsia="仿宋_GB2312" w:cs="Times New Roman"/>
          <w:color w:val="auto"/>
          <w:sz w:val="32"/>
          <w:szCs w:val="32"/>
          <w:highlight w:val="none"/>
          <w:u w:val="none"/>
        </w:rPr>
        <w:t>运用智能监控系统，加强对临床行为的过程监控，丰富大数据分析比较维度，提升监控效果；推广视频监控、人脸识别等新技术应用，开展药品进销存</w:t>
      </w:r>
      <w:r>
        <w:rPr>
          <w:rFonts w:hint="default" w:ascii="Times New Roman" w:hAnsi="Times New Roman" w:eastAsia="仿宋_GB2312" w:cs="Times New Roman"/>
          <w:color w:val="auto"/>
          <w:sz w:val="32"/>
          <w:szCs w:val="32"/>
          <w:highlight w:val="none"/>
          <w:u w:val="none"/>
          <w:lang w:eastAsia="zh-CN"/>
        </w:rPr>
        <w:t>实时</w:t>
      </w:r>
      <w:r>
        <w:rPr>
          <w:rFonts w:hint="default" w:ascii="Times New Roman" w:hAnsi="Times New Roman" w:eastAsia="仿宋_GB2312" w:cs="Times New Roman"/>
          <w:color w:val="auto"/>
          <w:sz w:val="32"/>
          <w:szCs w:val="32"/>
          <w:highlight w:val="none"/>
          <w:u w:val="none"/>
        </w:rPr>
        <w:t>管理。</w:t>
      </w:r>
    </w:p>
    <w:p>
      <w:pPr>
        <w:pStyle w:val="4"/>
        <w:spacing w:before="0" w:beforeLines="0" w:after="0" w:afterLines="0" w:line="600" w:lineRule="exact"/>
        <w:jc w:val="center"/>
        <w:outlineLvl w:val="1"/>
        <w:rPr>
          <w:rFonts w:hint="default" w:ascii="Times New Roman" w:hAnsi="Times New Roman" w:eastAsia="黑体" w:cs="Times New Roman"/>
          <w:b w:val="0"/>
          <w:bCs/>
          <w:color w:val="auto"/>
          <w:sz w:val="32"/>
          <w:szCs w:val="32"/>
          <w:highlight w:val="none"/>
          <w:u w:val="none"/>
        </w:rPr>
      </w:pPr>
      <w:r>
        <w:rPr>
          <w:rFonts w:hint="default" w:ascii="Times New Roman" w:hAnsi="Times New Roman" w:eastAsia="黑体" w:cs="Times New Roman"/>
          <w:b w:val="0"/>
          <w:bCs/>
          <w:color w:val="auto"/>
          <w:sz w:val="32"/>
          <w:szCs w:val="32"/>
          <w:highlight w:val="none"/>
          <w:u w:val="none"/>
        </w:rPr>
        <w:t>第三节 建立信用评价体系</w:t>
      </w:r>
    </w:p>
    <w:p>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Cs/>
          <w:color w:val="auto"/>
          <w:sz w:val="32"/>
          <w:szCs w:val="32"/>
          <w:highlight w:val="none"/>
          <w:u w:val="none"/>
        </w:rPr>
        <w:t>探索建立基金监管信用评价指标体系。</w:t>
      </w:r>
      <w:r>
        <w:rPr>
          <w:rFonts w:hint="default" w:ascii="Times New Roman" w:hAnsi="Times New Roman" w:eastAsia="仿宋_GB2312" w:cs="Times New Roman"/>
          <w:color w:val="auto"/>
          <w:sz w:val="32"/>
          <w:szCs w:val="32"/>
          <w:highlight w:val="none"/>
          <w:u w:val="none"/>
        </w:rPr>
        <w:t>重点探索基金监管信用体系建设相关标准、规范和指标体系，相关信息采集、评价和结果应用等内容。</w:t>
      </w:r>
    </w:p>
    <w:p>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Cs/>
          <w:color w:val="auto"/>
          <w:sz w:val="32"/>
          <w:szCs w:val="32"/>
          <w:highlight w:val="none"/>
          <w:u w:val="none"/>
        </w:rPr>
        <w:t>开展行业规范化建设，鼓励行业自律。</w:t>
      </w:r>
      <w:r>
        <w:rPr>
          <w:rFonts w:hint="default" w:ascii="Times New Roman" w:hAnsi="Times New Roman" w:eastAsia="仿宋_GB2312" w:cs="Times New Roman"/>
          <w:color w:val="auto"/>
          <w:kern w:val="0"/>
          <w:sz w:val="32"/>
          <w:szCs w:val="32"/>
          <w:highlight w:val="none"/>
        </w:rPr>
        <w:t>加强和规范医疗保障领域守信联合激励对象和失信联合惩戒对象名单管理工作，</w:t>
      </w:r>
      <w:r>
        <w:rPr>
          <w:rFonts w:hint="default" w:ascii="Times New Roman" w:hAnsi="Times New Roman" w:eastAsia="仿宋_GB2312" w:cs="Times New Roman"/>
          <w:color w:val="auto"/>
          <w:sz w:val="32"/>
          <w:szCs w:val="32"/>
          <w:highlight w:val="none"/>
          <w:u w:val="none"/>
        </w:rPr>
        <w:t>对严重失信的单位及个人实施重点监控，依法向社会公布并通报相关部门。鼓励医疗机构、零售药店、医师、药师等方面的行业协会开展行业规范和自律建设，制定并落实自律公约，促进行业规范和自我约束。</w:t>
      </w:r>
    </w:p>
    <w:p>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Cs/>
          <w:color w:val="auto"/>
          <w:sz w:val="32"/>
          <w:szCs w:val="32"/>
          <w:highlight w:val="none"/>
          <w:u w:val="none"/>
        </w:rPr>
        <w:t>大力惩戒欺诈骗保行为，推行守信联合激励和失信联合惩戒。</w:t>
      </w:r>
      <w:r>
        <w:rPr>
          <w:rFonts w:hint="default" w:ascii="Times New Roman" w:hAnsi="Times New Roman" w:eastAsia="仿宋_GB2312" w:cs="Times New Roman"/>
          <w:color w:val="auto"/>
          <w:sz w:val="32"/>
          <w:szCs w:val="32"/>
          <w:highlight w:val="none"/>
          <w:u w:val="none"/>
        </w:rPr>
        <w:t>积极推动将欺诈骗保行为纳入信用管理体系，建立失信惩戒制度，发挥联合惩戒威慑力，对重大</w:t>
      </w:r>
      <w:r>
        <w:rPr>
          <w:rFonts w:hint="default" w:ascii="Times New Roman" w:hAnsi="Times New Roman" w:eastAsia="仿宋_GB2312" w:cs="Times New Roman"/>
          <w:color w:val="auto"/>
          <w:sz w:val="32"/>
          <w:szCs w:val="32"/>
          <w:highlight w:val="none"/>
          <w:u w:val="none"/>
          <w:lang w:eastAsia="zh-CN"/>
        </w:rPr>
        <w:t>欺诈骗保</w:t>
      </w:r>
      <w:r>
        <w:rPr>
          <w:rFonts w:hint="default" w:ascii="Times New Roman" w:hAnsi="Times New Roman" w:eastAsia="仿宋_GB2312" w:cs="Times New Roman"/>
          <w:color w:val="auto"/>
          <w:sz w:val="32"/>
          <w:szCs w:val="32"/>
          <w:highlight w:val="none"/>
          <w:u w:val="none"/>
        </w:rPr>
        <w:t>行为严格追究刑事责任。</w:t>
      </w:r>
    </w:p>
    <w:p>
      <w:pPr>
        <w:spacing w:line="600" w:lineRule="exact"/>
        <w:ind w:firstLine="640" w:firstLineChars="200"/>
        <w:rPr>
          <w:rFonts w:hint="default" w:ascii="Times New Roman" w:hAnsi="Times New Roman" w:eastAsia="仿宋_GB2312" w:cs="Times New Roman"/>
          <w:color w:val="auto"/>
          <w:sz w:val="32"/>
          <w:szCs w:val="32"/>
          <w:highlight w:val="none"/>
          <w:u w:val="none"/>
        </w:rPr>
      </w:pPr>
    </w:p>
    <w:p>
      <w:pPr>
        <w:pStyle w:val="4"/>
        <w:spacing w:before="0" w:beforeLines="0" w:after="0" w:afterLines="0" w:line="600" w:lineRule="exact"/>
        <w:jc w:val="center"/>
        <w:outlineLvl w:val="1"/>
        <w:rPr>
          <w:rFonts w:hint="default" w:ascii="Times New Roman" w:hAnsi="Times New Roman" w:eastAsia="黑体" w:cs="Times New Roman"/>
          <w:b w:val="0"/>
          <w:bCs/>
          <w:color w:val="auto"/>
          <w:sz w:val="32"/>
          <w:szCs w:val="32"/>
          <w:highlight w:val="none"/>
          <w:u w:val="none"/>
        </w:rPr>
      </w:pPr>
      <w:r>
        <w:rPr>
          <w:rFonts w:hint="default" w:ascii="Times New Roman" w:hAnsi="Times New Roman" w:eastAsia="黑体" w:cs="Times New Roman"/>
          <w:b w:val="0"/>
          <w:bCs/>
          <w:color w:val="auto"/>
          <w:sz w:val="32"/>
          <w:szCs w:val="32"/>
          <w:highlight w:val="none"/>
          <w:u w:val="none"/>
        </w:rPr>
        <w:t>第四节 推动医疗保障监管法治化进程</w:t>
      </w:r>
    </w:p>
    <w:p>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Cs/>
          <w:color w:val="auto"/>
          <w:sz w:val="32"/>
          <w:szCs w:val="32"/>
          <w:highlight w:val="none"/>
          <w:u w:val="none"/>
        </w:rPr>
        <w:t>规范医疗保障基金监督管理，确保医疗保障基金安全。深入贯彻</w:t>
      </w:r>
      <w:r>
        <w:rPr>
          <w:rFonts w:hint="default" w:ascii="Times New Roman" w:hAnsi="Times New Roman" w:eastAsia="仿宋_GB2312" w:cs="Times New Roman"/>
          <w:color w:val="auto"/>
          <w:sz w:val="32"/>
          <w:szCs w:val="32"/>
          <w:highlight w:val="none"/>
          <w:u w:val="none"/>
        </w:rPr>
        <w:t>落实《医疗保障基金使用监督管理条例》和国家医保局、省医保局基金监管工作部署。加强医疗保障执法，规范执法行为和执法文书样式，改进执法方式，加强执法监督，建立健全</w:t>
      </w:r>
      <w:r>
        <w:rPr>
          <w:rFonts w:hint="eastAsia" w:ascii="Times New Roman" w:hAnsi="Times New Roman" w:eastAsia="仿宋_GB2312" w:cs="Times New Roman"/>
          <w:color w:val="auto"/>
          <w:sz w:val="32"/>
          <w:szCs w:val="32"/>
          <w:highlight w:val="none"/>
          <w:u w:val="none"/>
          <w:lang w:val="en-US" w:eastAsia="zh-CN"/>
        </w:rPr>
        <w:t>茂名市</w:t>
      </w:r>
      <w:r>
        <w:rPr>
          <w:rFonts w:hint="default" w:ascii="Times New Roman" w:hAnsi="Times New Roman" w:eastAsia="仿宋_GB2312" w:cs="Times New Roman"/>
          <w:color w:val="auto"/>
          <w:sz w:val="32"/>
          <w:szCs w:val="32"/>
          <w:highlight w:val="none"/>
          <w:u w:val="none"/>
        </w:rPr>
        <w:t>医疗保障行政执法公示、执法全过程记录、重大执法决定法制审核等制度，全面落实行政执法人员持证上岗和资格管理制度。健全行政复议和行政诉讼案件处理工作机制。持续打击欺诈骗保行为，引导全社会增强医疗保障法治意识和法治责任。</w:t>
      </w:r>
    </w:p>
    <w:p>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Cs/>
          <w:color w:val="auto"/>
          <w:sz w:val="32"/>
          <w:szCs w:val="32"/>
          <w:highlight w:val="none"/>
          <w:u w:val="none"/>
        </w:rPr>
        <w:t>加强基金监管执法队伍建设。适应全民医保的发展与医保治理能力提升的需要，加强人员队伍配备，</w:t>
      </w:r>
      <w:r>
        <w:rPr>
          <w:rFonts w:hint="default" w:ascii="Times New Roman" w:hAnsi="Times New Roman" w:eastAsia="仿宋_GB2312" w:cs="Times New Roman"/>
          <w:color w:val="auto"/>
          <w:sz w:val="32"/>
          <w:szCs w:val="32"/>
          <w:highlight w:val="none"/>
          <w:u w:val="none"/>
        </w:rPr>
        <w:t>建立专门的医保基金监管执法队伍。建立完善学习培训制度，提升队伍监管执法能力。</w:t>
      </w:r>
    </w:p>
    <w:tbl>
      <w:tblPr>
        <w:tblStyle w:val="13"/>
        <w:tblpPr w:leftFromText="180" w:rightFromText="180" w:vertAnchor="text" w:horzAnchor="page" w:tblpX="1725" w:tblpY="34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20" w:type="dxa"/>
            <w:tcBorders>
              <w:top w:val="single" w:color="auto" w:sz="4" w:space="0"/>
              <w:left w:val="single" w:color="auto" w:sz="4" w:space="0"/>
              <w:bottom w:val="single" w:color="auto" w:sz="4" w:space="0"/>
              <w:right w:val="single" w:color="auto" w:sz="4" w:space="0"/>
            </w:tcBorders>
            <w:noWrap w:val="0"/>
            <w:vAlign w:val="center"/>
          </w:tcPr>
          <w:p>
            <w:pPr>
              <w:pStyle w:val="3"/>
              <w:spacing w:line="600" w:lineRule="exact"/>
              <w:jc w:val="center"/>
              <w:outlineLvl w:val="1"/>
              <w:rPr>
                <w:rFonts w:hint="default" w:ascii="Times New Roman" w:hAnsi="Times New Roman" w:cs="Times New Roman"/>
                <w:b w:val="0"/>
                <w:bCs/>
                <w:color w:val="auto"/>
                <w:szCs w:val="32"/>
                <w:highlight w:val="none"/>
                <w:u w:val="none"/>
              </w:rPr>
            </w:pPr>
            <w:r>
              <w:rPr>
                <w:rFonts w:hint="eastAsia" w:ascii="仿宋_GB2312" w:hAnsi="仿宋_GB2312" w:eastAsia="仿宋_GB2312" w:cs="仿宋_GB2312"/>
                <w:b/>
                <w:bCs/>
                <w:color w:val="auto"/>
                <w:sz w:val="32"/>
                <w:szCs w:val="32"/>
                <w:highlight w:val="none"/>
                <w:u w:val="none"/>
              </w:rPr>
              <w:t xml:space="preserve">专栏5  </w:t>
            </w:r>
            <w:r>
              <w:rPr>
                <w:rFonts w:hint="eastAsia" w:ascii="仿宋_GB2312" w:hAnsi="仿宋_GB2312" w:eastAsia="仿宋_GB2312" w:cs="仿宋_GB2312"/>
                <w:b/>
                <w:bCs/>
                <w:color w:val="auto"/>
                <w:sz w:val="32"/>
                <w:szCs w:val="32"/>
                <w:highlight w:val="none"/>
                <w:u w:val="none"/>
                <w:lang w:eastAsia="zh-CN"/>
              </w:rPr>
              <w:t>医保基金</w:t>
            </w:r>
            <w:r>
              <w:rPr>
                <w:rFonts w:hint="eastAsia" w:ascii="仿宋_GB2312" w:hAnsi="仿宋_GB2312" w:eastAsia="仿宋_GB2312" w:cs="仿宋_GB2312"/>
                <w:b/>
                <w:bCs/>
                <w:color w:val="auto"/>
                <w:sz w:val="32"/>
                <w:szCs w:val="32"/>
                <w:highlight w:val="none"/>
                <w:u w:val="none"/>
              </w:rPr>
              <w:t>监管重点项目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5" w:hRule="atLeast"/>
        </w:trPr>
        <w:tc>
          <w:tcPr>
            <w:tcW w:w="9020" w:type="dxa"/>
            <w:tcBorders>
              <w:top w:val="single" w:color="auto" w:sz="4" w:space="0"/>
              <w:left w:val="single" w:color="auto" w:sz="4" w:space="0"/>
              <w:bottom w:val="single" w:color="auto" w:sz="4" w:space="0"/>
              <w:right w:val="single" w:color="auto" w:sz="4" w:space="0"/>
            </w:tcBorders>
            <w:noWrap w:val="0"/>
            <w:vAlign w:val="center"/>
          </w:tcPr>
          <w:p>
            <w:pPr>
              <w:pStyle w:val="18"/>
              <w:widowControl w:val="0"/>
              <w:numPr>
                <w:ilvl w:val="0"/>
                <w:numId w:val="0"/>
              </w:numPr>
              <w:wordWrap/>
              <w:adjustRightInd/>
              <w:snapToGrid/>
              <w:spacing w:line="520" w:lineRule="exact"/>
              <w:ind w:left="0" w:leftChars="0" w:firstLine="482" w:firstLineChars="200"/>
              <w:textAlignment w:val="auto"/>
              <w:rPr>
                <w:rFonts w:hint="eastAsia" w:ascii="仿宋_GB2312" w:hAnsi="仿宋_GB2312" w:eastAsia="仿宋_GB2312" w:cs="仿宋_GB2312"/>
                <w:b/>
                <w:bCs/>
                <w:color w:val="auto"/>
                <w:kern w:val="2"/>
                <w:sz w:val="24"/>
                <w:szCs w:val="24"/>
                <w:highlight w:val="none"/>
                <w:u w:val="none"/>
                <w:lang w:val="en-US" w:eastAsia="zh-CN" w:bidi="ar-SA"/>
              </w:rPr>
            </w:pPr>
            <w:r>
              <w:rPr>
                <w:rFonts w:hint="eastAsia" w:ascii="仿宋_GB2312" w:hAnsi="仿宋_GB2312" w:eastAsia="仿宋_GB2312" w:cs="仿宋_GB2312"/>
                <w:b/>
                <w:bCs/>
                <w:color w:val="auto"/>
                <w:kern w:val="2"/>
                <w:sz w:val="24"/>
                <w:szCs w:val="24"/>
                <w:highlight w:val="none"/>
                <w:u w:val="none"/>
                <w:lang w:val="en-US" w:eastAsia="zh-CN" w:bidi="ar-SA"/>
              </w:rPr>
              <w:t>1.医保基金监管全覆盖工程。</w:t>
            </w:r>
          </w:p>
          <w:p>
            <w:pPr>
              <w:pStyle w:val="18"/>
              <w:widowControl w:val="0"/>
              <w:numPr>
                <w:ilvl w:val="0"/>
                <w:numId w:val="0"/>
              </w:numPr>
              <w:wordWrap/>
              <w:adjustRightInd/>
              <w:snapToGrid/>
              <w:spacing w:line="520" w:lineRule="exact"/>
              <w:ind w:left="0" w:leftChars="0" w:firstLine="480" w:firstLineChars="200"/>
              <w:textAlignment w:val="auto"/>
              <w:rPr>
                <w:rFonts w:hint="eastAsia" w:ascii="仿宋_GB2312" w:hAnsi="仿宋_GB2312" w:eastAsia="仿宋_GB2312" w:cs="仿宋_GB2312"/>
                <w:b w:val="0"/>
                <w:bCs w:val="0"/>
                <w:color w:val="auto"/>
                <w:sz w:val="24"/>
                <w:szCs w:val="24"/>
                <w:highlight w:val="none"/>
                <w:u w:val="none"/>
                <w:lang w:eastAsia="zh-CN"/>
              </w:rPr>
            </w:pPr>
            <w:r>
              <w:rPr>
                <w:rFonts w:hint="eastAsia" w:ascii="仿宋_GB2312" w:hAnsi="仿宋_GB2312" w:eastAsia="仿宋_GB2312" w:cs="仿宋_GB2312"/>
                <w:b w:val="0"/>
                <w:bCs w:val="0"/>
                <w:color w:val="auto"/>
                <w:kern w:val="2"/>
                <w:sz w:val="24"/>
                <w:szCs w:val="24"/>
                <w:highlight w:val="none"/>
                <w:u w:val="none"/>
                <w:lang w:val="en-US" w:eastAsia="zh-CN" w:bidi="ar-SA"/>
              </w:rPr>
              <w:t>（1）</w:t>
            </w:r>
            <w:r>
              <w:rPr>
                <w:rFonts w:hint="eastAsia" w:ascii="仿宋_GB2312" w:hAnsi="仿宋_GB2312" w:eastAsia="仿宋_GB2312" w:cs="仿宋_GB2312"/>
                <w:b w:val="0"/>
                <w:bCs w:val="0"/>
                <w:color w:val="auto"/>
                <w:sz w:val="24"/>
                <w:szCs w:val="24"/>
                <w:highlight w:val="none"/>
                <w:u w:val="none"/>
                <w:lang w:eastAsia="zh-CN"/>
              </w:rPr>
              <w:t>系统监控全覆盖。以智能监控为依托，应用大数据手段，实现全方位、全流程、全环节监控。</w:t>
            </w:r>
          </w:p>
          <w:p>
            <w:pPr>
              <w:pStyle w:val="18"/>
              <w:widowControl w:val="0"/>
              <w:numPr>
                <w:ilvl w:val="0"/>
                <w:numId w:val="0"/>
              </w:numPr>
              <w:wordWrap/>
              <w:adjustRightInd/>
              <w:snapToGrid/>
              <w:spacing w:line="520" w:lineRule="exact"/>
              <w:ind w:left="0" w:leftChars="0" w:firstLine="480" w:firstLineChars="200"/>
              <w:textAlignment w:val="auto"/>
              <w:rPr>
                <w:rFonts w:hint="eastAsia" w:ascii="仿宋_GB2312" w:hAnsi="仿宋_GB2312" w:eastAsia="仿宋_GB2312" w:cs="仿宋_GB2312"/>
                <w:b w:val="0"/>
                <w:bCs w:val="0"/>
                <w:color w:val="auto"/>
                <w:sz w:val="24"/>
                <w:szCs w:val="24"/>
                <w:highlight w:val="none"/>
                <w:u w:val="none"/>
                <w:lang w:eastAsia="zh-CN"/>
              </w:rPr>
            </w:pPr>
            <w:r>
              <w:rPr>
                <w:rFonts w:hint="eastAsia" w:ascii="仿宋_GB2312" w:hAnsi="仿宋_GB2312" w:eastAsia="仿宋_GB2312" w:cs="仿宋_GB2312"/>
                <w:b w:val="0"/>
                <w:bCs w:val="0"/>
                <w:color w:val="auto"/>
                <w:kern w:val="2"/>
                <w:sz w:val="24"/>
                <w:szCs w:val="24"/>
                <w:highlight w:val="none"/>
                <w:u w:val="none"/>
                <w:lang w:val="en-US" w:eastAsia="zh-CN" w:bidi="ar-SA"/>
              </w:rPr>
              <w:t>（2）</w:t>
            </w:r>
            <w:r>
              <w:rPr>
                <w:rFonts w:hint="eastAsia" w:ascii="仿宋_GB2312" w:hAnsi="仿宋_GB2312" w:eastAsia="仿宋_GB2312" w:cs="仿宋_GB2312"/>
                <w:b w:val="0"/>
                <w:bCs w:val="0"/>
                <w:color w:val="auto"/>
                <w:sz w:val="24"/>
                <w:szCs w:val="24"/>
                <w:highlight w:val="none"/>
                <w:u w:val="none"/>
                <w:lang w:eastAsia="zh-CN"/>
              </w:rPr>
              <w:t>现场检查全覆盖。健全常态化日常监管工作机制，每年开展一次全覆盖式现场检查。现场检查由统筹地区医疗保障部门负责，对辖区内全部定点医药机构开展检查。</w:t>
            </w:r>
          </w:p>
          <w:p>
            <w:pPr>
              <w:pStyle w:val="18"/>
              <w:widowControl w:val="0"/>
              <w:numPr>
                <w:ilvl w:val="0"/>
                <w:numId w:val="0"/>
              </w:numPr>
              <w:wordWrap/>
              <w:adjustRightInd/>
              <w:snapToGrid/>
              <w:spacing w:line="520" w:lineRule="exact"/>
              <w:ind w:left="0" w:leftChars="0" w:firstLine="480" w:firstLineChars="200"/>
              <w:textAlignment w:val="auto"/>
              <w:rPr>
                <w:rFonts w:hint="eastAsia" w:ascii="仿宋_GB2312" w:hAnsi="仿宋_GB2312" w:eastAsia="仿宋_GB2312" w:cs="仿宋_GB2312"/>
                <w:b w:val="0"/>
                <w:bCs w:val="0"/>
                <w:color w:val="auto"/>
                <w:sz w:val="24"/>
                <w:szCs w:val="24"/>
                <w:highlight w:val="none"/>
                <w:u w:val="none"/>
                <w:lang w:eastAsia="zh-CN"/>
              </w:rPr>
            </w:pPr>
            <w:r>
              <w:rPr>
                <w:rFonts w:hint="eastAsia" w:ascii="仿宋_GB2312" w:hAnsi="仿宋_GB2312" w:eastAsia="仿宋_GB2312" w:cs="仿宋_GB2312"/>
                <w:b w:val="0"/>
                <w:bCs w:val="0"/>
                <w:color w:val="auto"/>
                <w:kern w:val="2"/>
                <w:sz w:val="24"/>
                <w:szCs w:val="24"/>
                <w:highlight w:val="none"/>
                <w:u w:val="none"/>
                <w:lang w:val="en-US" w:eastAsia="zh-CN" w:bidi="ar-SA"/>
              </w:rPr>
              <w:t>（3）</w:t>
            </w:r>
            <w:r>
              <w:rPr>
                <w:rFonts w:hint="eastAsia" w:ascii="仿宋_GB2312" w:hAnsi="仿宋_GB2312" w:eastAsia="仿宋_GB2312" w:cs="仿宋_GB2312"/>
                <w:b w:val="0"/>
                <w:bCs w:val="0"/>
                <w:color w:val="auto"/>
                <w:sz w:val="24"/>
                <w:szCs w:val="24"/>
                <w:highlight w:val="none"/>
                <w:u w:val="none"/>
                <w:lang w:eastAsia="zh-CN"/>
              </w:rPr>
              <w:t>飞行检查全覆盖。五年内，联合相关部门组织开展市级飞行检查。飞行检查随机抽查范围覆盖全市所有统筹地区。</w:t>
            </w:r>
          </w:p>
          <w:p>
            <w:pPr>
              <w:pStyle w:val="18"/>
              <w:widowControl w:val="0"/>
              <w:numPr>
                <w:ilvl w:val="0"/>
                <w:numId w:val="0"/>
              </w:numPr>
              <w:wordWrap/>
              <w:adjustRightInd/>
              <w:snapToGrid/>
              <w:spacing w:line="520" w:lineRule="exact"/>
              <w:ind w:left="0" w:leftChars="0" w:firstLine="480" w:firstLineChars="200"/>
              <w:textAlignment w:val="auto"/>
              <w:rPr>
                <w:rFonts w:hint="eastAsia" w:ascii="仿宋_GB2312" w:hAnsi="仿宋_GB2312" w:eastAsia="仿宋_GB2312" w:cs="仿宋_GB2312"/>
                <w:b w:val="0"/>
                <w:bCs w:val="0"/>
                <w:color w:val="auto"/>
                <w:sz w:val="24"/>
                <w:szCs w:val="24"/>
                <w:highlight w:val="none"/>
                <w:u w:val="none"/>
                <w:lang w:eastAsia="zh-CN"/>
              </w:rPr>
            </w:pPr>
            <w:r>
              <w:rPr>
                <w:rFonts w:hint="eastAsia" w:ascii="仿宋_GB2312" w:hAnsi="仿宋_GB2312" w:eastAsia="仿宋_GB2312" w:cs="仿宋_GB2312"/>
                <w:b w:val="0"/>
                <w:bCs w:val="0"/>
                <w:color w:val="auto"/>
                <w:kern w:val="2"/>
                <w:sz w:val="24"/>
                <w:szCs w:val="24"/>
                <w:highlight w:val="none"/>
                <w:u w:val="none"/>
                <w:lang w:val="en-US" w:eastAsia="zh-CN" w:bidi="ar-SA"/>
              </w:rPr>
              <w:t>（4）</w:t>
            </w:r>
            <w:r>
              <w:rPr>
                <w:rFonts w:hint="eastAsia" w:ascii="仿宋_GB2312" w:hAnsi="仿宋_GB2312" w:eastAsia="仿宋_GB2312" w:cs="仿宋_GB2312"/>
                <w:b w:val="0"/>
                <w:bCs w:val="0"/>
                <w:color w:val="auto"/>
                <w:sz w:val="24"/>
                <w:szCs w:val="24"/>
                <w:highlight w:val="none"/>
                <w:u w:val="none"/>
                <w:lang w:eastAsia="zh-CN"/>
              </w:rPr>
              <w:t>社会监督全覆盖。畅通优化电话、网站、微信等举报渠道，完善举报奖励机制，有效举报线索</w:t>
            </w:r>
            <w:r>
              <w:rPr>
                <w:rFonts w:hint="eastAsia" w:ascii="仿宋_GB2312" w:hAnsi="仿宋_GB2312" w:eastAsia="仿宋_GB2312" w:cs="仿宋_GB2312"/>
                <w:b w:val="0"/>
                <w:bCs w:val="0"/>
                <w:color w:val="auto"/>
                <w:sz w:val="24"/>
                <w:szCs w:val="24"/>
                <w:highlight w:val="none"/>
                <w:u w:val="none"/>
                <w:shd w:val="clear" w:color="auto" w:fill="auto"/>
                <w:lang w:eastAsia="zh-CN"/>
              </w:rPr>
              <w:t>凡</w:t>
            </w:r>
            <w:r>
              <w:rPr>
                <w:rFonts w:hint="eastAsia" w:ascii="仿宋_GB2312" w:hAnsi="仿宋_GB2312" w:eastAsia="仿宋_GB2312" w:cs="仿宋_GB2312"/>
                <w:b w:val="0"/>
                <w:bCs w:val="0"/>
                <w:color w:val="auto"/>
                <w:sz w:val="24"/>
                <w:szCs w:val="24"/>
                <w:highlight w:val="none"/>
                <w:u w:val="none"/>
                <w:lang w:eastAsia="zh-CN"/>
              </w:rPr>
              <w:t>接必查，实名举报查实必奖。动员社会力量参与监管，强化社会监督员队伍建设。</w:t>
            </w:r>
          </w:p>
          <w:p>
            <w:pPr>
              <w:pStyle w:val="18"/>
              <w:widowControl w:val="0"/>
              <w:numPr>
                <w:ilvl w:val="0"/>
                <w:numId w:val="0"/>
              </w:numPr>
              <w:wordWrap/>
              <w:adjustRightInd/>
              <w:snapToGrid/>
              <w:spacing w:line="520" w:lineRule="exact"/>
              <w:ind w:left="0" w:leftChars="0" w:firstLine="480" w:firstLineChars="200"/>
              <w:textAlignment w:val="auto"/>
              <w:rPr>
                <w:rFonts w:hint="eastAsia" w:ascii="仿宋_GB2312" w:hAnsi="仿宋_GB2312" w:eastAsia="仿宋_GB2312" w:cs="仿宋_GB2312"/>
                <w:color w:val="auto"/>
                <w:sz w:val="24"/>
                <w:szCs w:val="24"/>
                <w:highlight w:val="none"/>
                <w:u w:val="none"/>
                <w:lang w:eastAsia="zh-CN"/>
              </w:rPr>
            </w:pPr>
            <w:r>
              <w:rPr>
                <w:rFonts w:hint="eastAsia" w:ascii="仿宋_GB2312" w:hAnsi="仿宋_GB2312" w:eastAsia="仿宋_GB2312" w:cs="仿宋_GB2312"/>
                <w:b w:val="0"/>
                <w:bCs w:val="0"/>
                <w:color w:val="auto"/>
                <w:kern w:val="2"/>
                <w:sz w:val="24"/>
                <w:szCs w:val="24"/>
                <w:highlight w:val="none"/>
                <w:u w:val="none"/>
                <w:lang w:val="en-US" w:eastAsia="zh-CN" w:bidi="ar-SA"/>
              </w:rPr>
              <w:t>（5）</w:t>
            </w:r>
            <w:r>
              <w:rPr>
                <w:rFonts w:hint="eastAsia" w:ascii="仿宋_GB2312" w:hAnsi="仿宋_GB2312" w:eastAsia="仿宋_GB2312" w:cs="仿宋_GB2312"/>
                <w:b w:val="0"/>
                <w:bCs w:val="0"/>
                <w:color w:val="auto"/>
                <w:sz w:val="24"/>
                <w:szCs w:val="24"/>
                <w:highlight w:val="none"/>
                <w:u w:val="none"/>
                <w:lang w:eastAsia="zh-CN"/>
              </w:rPr>
              <w:t>监管责任全覆盖。健全基金监管执法体系，强化监管责任，合理调配监管力量。加强医疗保障部门与卫生健康、市场监管、公安、审计等部门以及纪检监察机关的协同配合，健全</w:t>
            </w:r>
            <w:r>
              <w:rPr>
                <w:rFonts w:hint="eastAsia" w:ascii="仿宋_GB2312" w:hAnsi="仿宋_GB2312" w:eastAsia="仿宋_GB2312" w:cs="仿宋_GB2312"/>
                <w:color w:val="auto"/>
                <w:sz w:val="24"/>
                <w:szCs w:val="24"/>
                <w:highlight w:val="none"/>
                <w:u w:val="none"/>
                <w:lang w:eastAsia="zh-CN"/>
              </w:rPr>
              <w:t>协同执法、一案多处工作机制。</w:t>
            </w:r>
          </w:p>
          <w:p>
            <w:pPr>
              <w:widowControl w:val="0"/>
              <w:wordWrap/>
              <w:adjustRightInd/>
              <w:snapToGrid/>
              <w:spacing w:line="520" w:lineRule="exact"/>
              <w:ind w:firstLine="482" w:firstLineChars="200"/>
              <w:textAlignment w:val="auto"/>
              <w:rPr>
                <w:rFonts w:hint="eastAsia" w:ascii="仿宋_GB2312" w:hAnsi="仿宋_GB2312" w:eastAsia="仿宋_GB2312" w:cs="仿宋_GB2312"/>
                <w:color w:val="auto"/>
                <w:sz w:val="24"/>
                <w:szCs w:val="24"/>
                <w:highlight w:val="none"/>
                <w:u w:val="none"/>
              </w:rPr>
            </w:pPr>
            <w:r>
              <w:rPr>
                <w:rFonts w:hint="eastAsia" w:ascii="仿宋_GB2312" w:hAnsi="仿宋_GB2312" w:eastAsia="仿宋_GB2312" w:cs="仿宋_GB2312"/>
                <w:b/>
                <w:bCs/>
                <w:color w:val="auto"/>
                <w:sz w:val="24"/>
                <w:szCs w:val="24"/>
                <w:highlight w:val="none"/>
                <w:u w:val="none"/>
              </w:rPr>
              <w:t>2.医保基金监管智能监控</w:t>
            </w:r>
            <w:r>
              <w:rPr>
                <w:rFonts w:hint="eastAsia" w:ascii="仿宋_GB2312" w:hAnsi="仿宋_GB2312" w:eastAsia="仿宋_GB2312" w:cs="仿宋_GB2312"/>
                <w:b/>
                <w:bCs/>
                <w:color w:val="auto"/>
                <w:sz w:val="24"/>
                <w:szCs w:val="24"/>
                <w:highlight w:val="none"/>
                <w:u w:val="none"/>
                <w:lang w:eastAsia="zh-CN"/>
              </w:rPr>
              <w:t>工程。</w:t>
            </w:r>
          </w:p>
          <w:p>
            <w:pPr>
              <w:pStyle w:val="18"/>
              <w:widowControl w:val="0"/>
              <w:numPr>
                <w:ilvl w:val="0"/>
                <w:numId w:val="0"/>
              </w:numPr>
              <w:wordWrap/>
              <w:adjustRightInd/>
              <w:snapToGrid/>
              <w:spacing w:line="520" w:lineRule="exact"/>
              <w:ind w:left="0" w:leftChars="0" w:firstLine="480" w:firstLineChars="200"/>
              <w:textAlignment w:val="auto"/>
              <w:rPr>
                <w:rFonts w:hint="eastAsia" w:ascii="仿宋_GB2312" w:hAnsi="仿宋_GB2312" w:eastAsia="仿宋_GB2312" w:cs="仿宋_GB2312"/>
                <w:color w:val="auto"/>
                <w:sz w:val="24"/>
                <w:szCs w:val="24"/>
                <w:highlight w:val="none"/>
                <w:u w:val="none"/>
                <w:lang w:eastAsia="zh-CN"/>
              </w:rPr>
            </w:pPr>
            <w:r>
              <w:rPr>
                <w:rFonts w:hint="eastAsia" w:ascii="仿宋_GB2312" w:hAnsi="仿宋_GB2312" w:eastAsia="仿宋_GB2312" w:cs="仿宋_GB2312"/>
                <w:b w:val="0"/>
                <w:bCs w:val="0"/>
                <w:color w:val="auto"/>
                <w:kern w:val="2"/>
                <w:sz w:val="24"/>
                <w:szCs w:val="24"/>
                <w:highlight w:val="none"/>
                <w:u w:val="none"/>
                <w:lang w:val="en-US" w:eastAsia="zh-CN" w:bidi="ar-SA"/>
              </w:rPr>
              <w:t>（1）</w:t>
            </w:r>
            <w:r>
              <w:rPr>
                <w:rFonts w:hint="eastAsia" w:ascii="仿宋_GB2312" w:hAnsi="仿宋_GB2312" w:eastAsia="仿宋_GB2312" w:cs="仿宋_GB2312"/>
                <w:color w:val="auto"/>
                <w:sz w:val="24"/>
                <w:szCs w:val="24"/>
                <w:highlight w:val="none"/>
                <w:u w:val="none"/>
                <w:lang w:eastAsia="zh-CN"/>
              </w:rPr>
              <w:t>适应医保支付方式改革和商业健康保险发展需要，落实和不断完善基础信息标准库和临床指南等医学知识库应用，推进智能监控规则库建设，并动态更新。</w:t>
            </w:r>
          </w:p>
          <w:p>
            <w:pPr>
              <w:pStyle w:val="18"/>
              <w:widowControl w:val="0"/>
              <w:numPr>
                <w:ilvl w:val="0"/>
                <w:numId w:val="0"/>
              </w:numPr>
              <w:wordWrap/>
              <w:adjustRightInd/>
              <w:snapToGrid/>
              <w:spacing w:line="520" w:lineRule="exact"/>
              <w:ind w:left="0" w:leftChars="0" w:firstLine="480" w:firstLineChars="200"/>
              <w:textAlignment w:val="auto"/>
              <w:rPr>
                <w:rFonts w:hint="eastAsia" w:ascii="仿宋_GB2312" w:hAnsi="仿宋_GB2312" w:eastAsia="仿宋_GB2312" w:cs="仿宋_GB2312"/>
                <w:b w:val="0"/>
                <w:bCs w:val="0"/>
                <w:color w:val="auto"/>
                <w:kern w:val="2"/>
                <w:sz w:val="24"/>
                <w:szCs w:val="24"/>
                <w:highlight w:val="none"/>
                <w:u w:val="none"/>
                <w:lang w:val="en-US" w:eastAsia="zh-CN" w:bidi="ar-SA"/>
              </w:rPr>
            </w:pPr>
            <w:r>
              <w:rPr>
                <w:rFonts w:hint="eastAsia" w:ascii="仿宋_GB2312" w:hAnsi="仿宋_GB2312" w:eastAsia="仿宋_GB2312" w:cs="仿宋_GB2312"/>
                <w:b w:val="0"/>
                <w:bCs w:val="0"/>
                <w:color w:val="auto"/>
                <w:kern w:val="2"/>
                <w:sz w:val="24"/>
                <w:szCs w:val="24"/>
                <w:highlight w:val="none"/>
                <w:u w:val="none"/>
                <w:lang w:val="en-US" w:eastAsia="zh-CN" w:bidi="ar-SA"/>
              </w:rPr>
              <w:t>（2）</w:t>
            </w:r>
            <w:r>
              <w:rPr>
                <w:rFonts w:hint="eastAsia" w:ascii="仿宋_GB2312" w:hAnsi="仿宋_GB2312" w:eastAsia="仿宋_GB2312" w:cs="仿宋_GB2312"/>
                <w:color w:val="auto"/>
                <w:sz w:val="24"/>
                <w:szCs w:val="24"/>
                <w:highlight w:val="none"/>
                <w:u w:val="none"/>
                <w:lang w:val="en-US" w:eastAsia="zh-CN"/>
              </w:rPr>
              <w:t>开展药品和医用耗材进销存实时管理。</w:t>
            </w:r>
          </w:p>
          <w:p>
            <w:pPr>
              <w:pStyle w:val="18"/>
              <w:widowControl w:val="0"/>
              <w:numPr>
                <w:ilvl w:val="0"/>
                <w:numId w:val="0"/>
              </w:numPr>
              <w:wordWrap/>
              <w:adjustRightInd/>
              <w:snapToGrid/>
              <w:spacing w:line="520" w:lineRule="exact"/>
              <w:ind w:left="0" w:leftChars="0" w:firstLine="480" w:firstLineChars="200"/>
              <w:textAlignment w:val="auto"/>
              <w:rPr>
                <w:rFonts w:hint="eastAsia" w:ascii="仿宋_GB2312" w:hAnsi="仿宋_GB2312" w:eastAsia="仿宋_GB2312" w:cs="仿宋_GB2312"/>
                <w:color w:val="auto"/>
                <w:sz w:val="24"/>
                <w:szCs w:val="24"/>
                <w:highlight w:val="none"/>
                <w:u w:val="none"/>
                <w:lang w:eastAsia="zh-CN"/>
              </w:rPr>
            </w:pPr>
            <w:r>
              <w:rPr>
                <w:rFonts w:hint="eastAsia" w:ascii="仿宋_GB2312" w:hAnsi="仿宋_GB2312" w:eastAsia="仿宋_GB2312" w:cs="仿宋_GB2312"/>
                <w:b w:val="0"/>
                <w:bCs w:val="0"/>
                <w:color w:val="auto"/>
                <w:kern w:val="2"/>
                <w:sz w:val="24"/>
                <w:szCs w:val="24"/>
                <w:highlight w:val="none"/>
                <w:u w:val="none"/>
                <w:lang w:val="en-US" w:eastAsia="zh-CN" w:bidi="ar-SA"/>
              </w:rPr>
              <w:t>（3）</w:t>
            </w:r>
            <w:r>
              <w:rPr>
                <w:rFonts w:hint="eastAsia" w:ascii="仿宋_GB2312" w:hAnsi="仿宋_GB2312" w:eastAsia="仿宋_GB2312" w:cs="仿宋_GB2312"/>
                <w:color w:val="auto"/>
                <w:sz w:val="24"/>
                <w:szCs w:val="24"/>
                <w:highlight w:val="none"/>
                <w:u w:val="none"/>
                <w:lang w:eastAsia="zh-CN"/>
              </w:rPr>
              <w:t>推广视频监控、生物特征识别等技术应用。</w:t>
            </w:r>
          </w:p>
          <w:p>
            <w:pPr>
              <w:pStyle w:val="18"/>
              <w:widowControl w:val="0"/>
              <w:numPr>
                <w:ilvl w:val="0"/>
                <w:numId w:val="0"/>
              </w:numPr>
              <w:wordWrap/>
              <w:adjustRightInd/>
              <w:snapToGrid/>
              <w:spacing w:line="520" w:lineRule="exact"/>
              <w:ind w:left="0" w:leftChars="0" w:firstLine="480" w:firstLineChars="200"/>
              <w:textAlignment w:val="auto"/>
              <w:rPr>
                <w:rFonts w:hint="default" w:ascii="Times New Roman" w:hAnsi="Times New Roman" w:cs="Times New Roman"/>
                <w:color w:val="auto"/>
                <w:highlight w:val="none"/>
                <w:u w:val="none"/>
              </w:rPr>
            </w:pPr>
            <w:r>
              <w:rPr>
                <w:rFonts w:hint="eastAsia" w:ascii="仿宋_GB2312" w:hAnsi="仿宋_GB2312" w:eastAsia="仿宋_GB2312" w:cs="仿宋_GB2312"/>
                <w:b w:val="0"/>
                <w:bCs w:val="0"/>
                <w:color w:val="auto"/>
                <w:kern w:val="2"/>
                <w:sz w:val="24"/>
                <w:szCs w:val="24"/>
                <w:highlight w:val="none"/>
                <w:u w:val="none"/>
                <w:lang w:val="en-US" w:eastAsia="zh-CN" w:bidi="ar-SA"/>
              </w:rPr>
              <w:t>（4）</w:t>
            </w:r>
            <w:r>
              <w:rPr>
                <w:rFonts w:hint="eastAsia" w:ascii="仿宋_GB2312" w:hAnsi="仿宋_GB2312" w:eastAsia="仿宋_GB2312" w:cs="仿宋_GB2312"/>
                <w:color w:val="auto"/>
                <w:sz w:val="24"/>
                <w:szCs w:val="24"/>
                <w:highlight w:val="none"/>
                <w:u w:val="none"/>
                <w:lang w:eastAsia="zh-CN"/>
              </w:rPr>
              <w:t>将异地就医、购药即时结算纳入智能监控范围。</w:t>
            </w:r>
          </w:p>
        </w:tc>
      </w:tr>
    </w:tbl>
    <w:p>
      <w:pPr>
        <w:pStyle w:val="3"/>
        <w:numPr>
          <w:ilvl w:val="0"/>
          <w:numId w:val="1"/>
        </w:numPr>
        <w:spacing w:before="0" w:beforeLines="0" w:after="0" w:afterLines="0" w:line="600" w:lineRule="exact"/>
        <w:ind w:left="0" w:firstLine="0"/>
        <w:jc w:val="center"/>
        <w:outlineLvl w:val="0"/>
        <w:rPr>
          <w:rStyle w:val="15"/>
          <w:rFonts w:hint="default" w:ascii="Times New Roman" w:hAnsi="Times New Roman" w:eastAsia="方正小标宋简体" w:cs="Times New Roman"/>
          <w:b w:val="0"/>
          <w:color w:val="auto"/>
          <w:sz w:val="36"/>
          <w:szCs w:val="36"/>
          <w:highlight w:val="none"/>
          <w:u w:val="none"/>
        </w:rPr>
      </w:pPr>
      <w:r>
        <w:rPr>
          <w:rStyle w:val="15"/>
          <w:rFonts w:hint="default" w:ascii="Times New Roman" w:hAnsi="Times New Roman" w:eastAsia="方正小标宋简体" w:cs="Times New Roman"/>
          <w:b w:val="0"/>
          <w:color w:val="auto"/>
          <w:sz w:val="36"/>
          <w:szCs w:val="36"/>
          <w:highlight w:val="none"/>
          <w:u w:val="none"/>
        </w:rPr>
        <w:t xml:space="preserve">  协同推进医药服务供给</w:t>
      </w:r>
      <w:r>
        <w:rPr>
          <w:rStyle w:val="15"/>
          <w:rFonts w:hint="default" w:ascii="Times New Roman" w:hAnsi="Times New Roman" w:eastAsia="方正小标宋简体" w:cs="Times New Roman"/>
          <w:b w:val="0"/>
          <w:color w:val="auto"/>
          <w:sz w:val="36"/>
          <w:szCs w:val="36"/>
          <w:highlight w:val="none"/>
          <w:u w:val="none"/>
          <w:shd w:val="clear" w:color="auto" w:fill="auto"/>
        </w:rPr>
        <w:t>侧</w:t>
      </w:r>
      <w:r>
        <w:rPr>
          <w:rStyle w:val="15"/>
          <w:rFonts w:hint="default" w:ascii="Times New Roman" w:hAnsi="Times New Roman" w:eastAsia="方正小标宋简体" w:cs="Times New Roman"/>
          <w:b w:val="0"/>
          <w:color w:val="auto"/>
          <w:sz w:val="36"/>
          <w:szCs w:val="36"/>
          <w:highlight w:val="none"/>
          <w:u w:val="none"/>
        </w:rPr>
        <w:t>改革</w:t>
      </w:r>
    </w:p>
    <w:p>
      <w:pPr>
        <w:pStyle w:val="3"/>
        <w:numPr>
          <w:ilvl w:val="0"/>
          <w:numId w:val="0"/>
        </w:numPr>
        <w:spacing w:before="0" w:beforeLines="0" w:after="0" w:afterLines="0" w:line="600" w:lineRule="exact"/>
        <w:ind w:left="0" w:firstLine="0"/>
        <w:jc w:val="both"/>
        <w:outlineLvl w:val="0"/>
        <w:rPr>
          <w:rStyle w:val="15"/>
          <w:rFonts w:hint="default" w:ascii="Times New Roman" w:hAnsi="Times New Roman" w:eastAsia="方正小标宋简体" w:cs="Times New Roman"/>
          <w:b w:val="0"/>
          <w:color w:val="auto"/>
          <w:sz w:val="36"/>
          <w:szCs w:val="36"/>
          <w:highlight w:val="none"/>
          <w:u w:val="none"/>
        </w:rPr>
      </w:pPr>
    </w:p>
    <w:p>
      <w:pPr>
        <w:pStyle w:val="4"/>
        <w:spacing w:before="0" w:beforeLines="0" w:after="0" w:afterLines="0" w:line="600" w:lineRule="exact"/>
        <w:jc w:val="center"/>
        <w:outlineLvl w:val="1"/>
        <w:rPr>
          <w:rFonts w:hint="default" w:ascii="Times New Roman" w:hAnsi="Times New Roman" w:eastAsia="黑体" w:cs="Times New Roman"/>
          <w:b w:val="0"/>
          <w:bCs/>
          <w:color w:val="auto"/>
          <w:sz w:val="32"/>
          <w:szCs w:val="32"/>
          <w:highlight w:val="none"/>
          <w:u w:val="none"/>
        </w:rPr>
      </w:pPr>
      <w:r>
        <w:rPr>
          <w:rFonts w:hint="default" w:ascii="Times New Roman" w:hAnsi="Times New Roman" w:eastAsia="黑体" w:cs="Times New Roman"/>
          <w:b w:val="0"/>
          <w:bCs/>
          <w:color w:val="auto"/>
          <w:sz w:val="32"/>
          <w:szCs w:val="32"/>
          <w:highlight w:val="none"/>
          <w:u w:val="none"/>
        </w:rPr>
        <w:t>第一节 落实药品与耗材集中采购政策</w:t>
      </w:r>
    </w:p>
    <w:p>
      <w:pPr>
        <w:spacing w:line="600" w:lineRule="exact"/>
        <w:ind w:firstLine="640" w:firstLineChars="200"/>
        <w:jc w:val="lef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Cs/>
          <w:color w:val="auto"/>
          <w:sz w:val="32"/>
          <w:szCs w:val="32"/>
          <w:highlight w:val="none"/>
          <w:u w:val="none"/>
        </w:rPr>
        <w:t>落实国家和省的药品集中采购政策。</w:t>
      </w:r>
      <w:r>
        <w:rPr>
          <w:rFonts w:hint="default" w:ascii="Times New Roman" w:hAnsi="Times New Roman" w:eastAsia="仿宋_GB2312" w:cs="Times New Roman"/>
          <w:color w:val="auto"/>
          <w:sz w:val="32"/>
          <w:szCs w:val="32"/>
          <w:highlight w:val="none"/>
          <w:u w:val="none"/>
        </w:rPr>
        <w:t>坚持集中带量采购，持续推进药品跨区域联合采购，开展高值医用耗材、检验检测试剂集中采购，推动药品和耗材保供</w:t>
      </w:r>
      <w:r>
        <w:rPr>
          <w:rFonts w:hint="default" w:ascii="Times New Roman" w:hAnsi="Times New Roman" w:eastAsia="仿宋_GB2312" w:cs="Times New Roman"/>
          <w:color w:val="auto"/>
          <w:sz w:val="32"/>
          <w:szCs w:val="32"/>
          <w:highlight w:val="none"/>
          <w:u w:val="none"/>
          <w:lang w:eastAsia="zh-CN"/>
        </w:rPr>
        <w:t>稳</w:t>
      </w:r>
      <w:r>
        <w:rPr>
          <w:rFonts w:hint="default" w:ascii="Times New Roman" w:hAnsi="Times New Roman" w:eastAsia="仿宋_GB2312" w:cs="Times New Roman"/>
          <w:color w:val="auto"/>
          <w:sz w:val="32"/>
          <w:szCs w:val="32"/>
          <w:highlight w:val="none"/>
          <w:u w:val="none"/>
        </w:rPr>
        <w:t>价。</w:t>
      </w:r>
    </w:p>
    <w:p>
      <w:pPr>
        <w:spacing w:line="600" w:lineRule="exact"/>
        <w:ind w:firstLine="640" w:firstLineChars="200"/>
        <w:jc w:val="lef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Cs/>
          <w:color w:val="auto"/>
          <w:sz w:val="32"/>
          <w:szCs w:val="32"/>
          <w:highlight w:val="none"/>
          <w:u w:val="none"/>
          <w:lang w:val="en-US" w:eastAsia="zh-CN"/>
        </w:rPr>
        <w:t>配合国家和省</w:t>
      </w:r>
      <w:r>
        <w:rPr>
          <w:rFonts w:hint="default" w:ascii="Times New Roman" w:hAnsi="Times New Roman" w:eastAsia="仿宋_GB2312" w:cs="Times New Roman"/>
          <w:bCs/>
          <w:color w:val="auto"/>
          <w:sz w:val="32"/>
          <w:szCs w:val="32"/>
          <w:highlight w:val="none"/>
          <w:u w:val="none"/>
        </w:rPr>
        <w:t>开展药品、医用耗材、医疗技术的经济性评价。</w:t>
      </w:r>
      <w:r>
        <w:rPr>
          <w:rFonts w:hint="default" w:ascii="Times New Roman" w:hAnsi="Times New Roman" w:eastAsia="仿宋_GB2312" w:cs="Times New Roman"/>
          <w:bCs/>
          <w:color w:val="auto"/>
          <w:sz w:val="32"/>
          <w:szCs w:val="32"/>
          <w:highlight w:val="none"/>
          <w:u w:val="none"/>
          <w:lang w:eastAsia="zh-CN"/>
        </w:rPr>
        <w:t>按照</w:t>
      </w:r>
      <w:r>
        <w:rPr>
          <w:rFonts w:hint="default" w:ascii="Times New Roman" w:hAnsi="Times New Roman" w:eastAsia="仿宋_GB2312" w:cs="Times New Roman"/>
          <w:color w:val="auto"/>
          <w:sz w:val="32"/>
          <w:szCs w:val="32"/>
          <w:highlight w:val="none"/>
          <w:u w:val="none"/>
        </w:rPr>
        <w:t>省的</w:t>
      </w:r>
      <w:r>
        <w:rPr>
          <w:rFonts w:hint="default" w:ascii="Times New Roman" w:hAnsi="Times New Roman" w:eastAsia="仿宋_GB2312" w:cs="Times New Roman"/>
          <w:color w:val="auto"/>
          <w:sz w:val="32"/>
          <w:szCs w:val="32"/>
          <w:highlight w:val="none"/>
          <w:u w:val="none"/>
          <w:lang w:eastAsia="zh-CN"/>
        </w:rPr>
        <w:t>统一</w:t>
      </w:r>
      <w:r>
        <w:rPr>
          <w:rFonts w:hint="default" w:ascii="Times New Roman" w:hAnsi="Times New Roman" w:eastAsia="仿宋_GB2312" w:cs="Times New Roman"/>
          <w:color w:val="auto"/>
          <w:sz w:val="32"/>
          <w:szCs w:val="32"/>
          <w:highlight w:val="none"/>
          <w:u w:val="none"/>
        </w:rPr>
        <w:t>部署，</w:t>
      </w:r>
      <w:r>
        <w:rPr>
          <w:rFonts w:hint="default" w:ascii="Times New Roman" w:hAnsi="Times New Roman" w:eastAsia="仿宋_GB2312" w:cs="Times New Roman"/>
          <w:color w:val="auto"/>
          <w:sz w:val="32"/>
          <w:szCs w:val="32"/>
          <w:highlight w:val="none"/>
          <w:u w:val="none"/>
          <w:lang w:eastAsia="zh-CN"/>
        </w:rPr>
        <w:t>做好</w:t>
      </w:r>
      <w:r>
        <w:rPr>
          <w:rFonts w:hint="default" w:ascii="Times New Roman" w:hAnsi="Times New Roman" w:eastAsia="仿宋_GB2312" w:cs="Times New Roman"/>
          <w:color w:val="auto"/>
          <w:sz w:val="32"/>
          <w:szCs w:val="32"/>
          <w:highlight w:val="none"/>
          <w:u w:val="none"/>
        </w:rPr>
        <w:t>治理高值医用耗材改革，按照</w:t>
      </w:r>
      <w:r>
        <w:rPr>
          <w:rFonts w:hint="eastAsia" w:ascii="Times New Roman" w:hAnsi="Times New Roman"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shd w:val="clear" w:color="auto" w:fill="auto"/>
        </w:rPr>
        <w:t>促</w:t>
      </w:r>
      <w:r>
        <w:rPr>
          <w:rFonts w:hint="default" w:ascii="Times New Roman" w:hAnsi="Times New Roman" w:eastAsia="仿宋_GB2312" w:cs="Times New Roman"/>
          <w:color w:val="auto"/>
          <w:sz w:val="32"/>
          <w:szCs w:val="32"/>
          <w:highlight w:val="none"/>
          <w:u w:val="none"/>
        </w:rPr>
        <w:t>降价、防滥用、严监管、</w:t>
      </w:r>
      <w:r>
        <w:rPr>
          <w:rFonts w:hint="default" w:ascii="Times New Roman" w:hAnsi="Times New Roman" w:eastAsia="仿宋_GB2312" w:cs="Times New Roman"/>
          <w:color w:val="auto"/>
          <w:sz w:val="32"/>
          <w:szCs w:val="32"/>
          <w:highlight w:val="none"/>
          <w:u w:val="none"/>
          <w:shd w:val="clear" w:color="auto" w:fill="auto"/>
        </w:rPr>
        <w:t>助</w:t>
      </w:r>
      <w:r>
        <w:rPr>
          <w:rFonts w:hint="default" w:ascii="Times New Roman" w:hAnsi="Times New Roman" w:eastAsia="仿宋_GB2312" w:cs="Times New Roman"/>
          <w:color w:val="auto"/>
          <w:sz w:val="32"/>
          <w:szCs w:val="32"/>
          <w:highlight w:val="none"/>
          <w:u w:val="none"/>
        </w:rPr>
        <w:t>发展</w:t>
      </w:r>
      <w:r>
        <w:rPr>
          <w:rFonts w:hint="eastAsia" w:ascii="Times New Roman" w:hAnsi="Times New Roman"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思路，摸清高值耗材的管理及使用现状，加快推进治理工作。</w:t>
      </w:r>
    </w:p>
    <w:p>
      <w:pPr>
        <w:spacing w:line="600" w:lineRule="exact"/>
        <w:ind w:firstLine="640" w:firstLineChars="200"/>
        <w:jc w:val="left"/>
        <w:rPr>
          <w:rFonts w:hint="default" w:ascii="Times New Roman" w:hAnsi="Times New Roman" w:eastAsia="仿宋_GB2312" w:cs="Times New Roman"/>
          <w:color w:val="auto"/>
          <w:sz w:val="32"/>
          <w:szCs w:val="32"/>
          <w:highlight w:val="none"/>
          <w:u w:val="none"/>
        </w:rPr>
      </w:pPr>
    </w:p>
    <w:p>
      <w:pPr>
        <w:pStyle w:val="4"/>
        <w:spacing w:before="0" w:beforeLines="0" w:after="0" w:afterLines="0" w:line="600" w:lineRule="exact"/>
        <w:jc w:val="center"/>
        <w:outlineLvl w:val="1"/>
        <w:rPr>
          <w:rFonts w:hint="default" w:ascii="Times New Roman" w:hAnsi="Times New Roman" w:eastAsia="黑体" w:cs="Times New Roman"/>
          <w:b w:val="0"/>
          <w:bCs/>
          <w:color w:val="auto"/>
          <w:sz w:val="32"/>
          <w:szCs w:val="32"/>
          <w:highlight w:val="none"/>
          <w:u w:val="none"/>
        </w:rPr>
      </w:pPr>
      <w:r>
        <w:rPr>
          <w:rFonts w:hint="default" w:ascii="Times New Roman" w:hAnsi="Times New Roman" w:eastAsia="黑体" w:cs="Times New Roman"/>
          <w:b w:val="0"/>
          <w:bCs/>
          <w:color w:val="auto"/>
          <w:sz w:val="32"/>
          <w:szCs w:val="32"/>
          <w:highlight w:val="none"/>
          <w:u w:val="none"/>
        </w:rPr>
        <w:t xml:space="preserve">第二节 </w:t>
      </w:r>
      <w:r>
        <w:rPr>
          <w:rFonts w:hint="eastAsia" w:ascii="Times New Roman" w:hAnsi="Times New Roman" w:eastAsia="黑体" w:cs="Times New Roman"/>
          <w:b w:val="0"/>
          <w:bCs/>
          <w:color w:val="auto"/>
          <w:sz w:val="32"/>
          <w:szCs w:val="32"/>
          <w:highlight w:val="none"/>
          <w:u w:val="none"/>
          <w:lang w:eastAsia="zh-CN"/>
        </w:rPr>
        <w:t>推动</w:t>
      </w:r>
      <w:r>
        <w:rPr>
          <w:rFonts w:hint="default" w:ascii="Times New Roman" w:hAnsi="Times New Roman" w:eastAsia="黑体" w:cs="Times New Roman"/>
          <w:b w:val="0"/>
          <w:bCs/>
          <w:color w:val="auto"/>
          <w:sz w:val="32"/>
          <w:szCs w:val="32"/>
          <w:highlight w:val="none"/>
          <w:u w:val="none"/>
        </w:rPr>
        <w:t>医药价格机制改革</w:t>
      </w:r>
    </w:p>
    <w:p>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推动医药服务价格形成机制。理顺药品、医用耗材价格形成体系，建立市场主导的药品、医用耗材价格形成机制和信息共享联动机制。落实医疗服务价格动态调整机制，按照</w:t>
      </w:r>
      <w:r>
        <w:rPr>
          <w:rFonts w:hint="eastAsia" w:ascii="Times New Roman" w:hAnsi="Times New Roman"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总量控制、结构调整、有升有降、逐步到位</w:t>
      </w:r>
      <w:r>
        <w:rPr>
          <w:rFonts w:hint="eastAsia" w:ascii="Times New Roman" w:hAnsi="Times New Roman"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的原则，持续优化医疗服务价格结构，理顺比价关系。按照</w:t>
      </w:r>
      <w:r>
        <w:rPr>
          <w:rFonts w:hint="default" w:ascii="Times New Roman" w:hAnsi="Times New Roman" w:eastAsia="仿宋_GB2312" w:cs="Times New Roman"/>
          <w:color w:val="auto"/>
          <w:sz w:val="32"/>
          <w:szCs w:val="32"/>
          <w:highlight w:val="none"/>
          <w:u w:val="none"/>
          <w:lang w:eastAsia="zh-CN"/>
        </w:rPr>
        <w:t>省制定的价格调整</w:t>
      </w:r>
      <w:r>
        <w:rPr>
          <w:rFonts w:hint="eastAsia" w:ascii="Times New Roman" w:hAnsi="Times New Roman"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启动指标</w:t>
      </w:r>
      <w:r>
        <w:rPr>
          <w:rFonts w:hint="eastAsia" w:ascii="Times New Roman" w:hAnsi="Times New Roman"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开展调价量化评估，符合</w:t>
      </w:r>
      <w:r>
        <w:rPr>
          <w:rFonts w:hint="default" w:ascii="Times New Roman" w:hAnsi="Times New Roman" w:eastAsia="仿宋_GB2312" w:cs="Times New Roman"/>
          <w:color w:val="auto"/>
          <w:sz w:val="32"/>
          <w:szCs w:val="32"/>
          <w:highlight w:val="none"/>
          <w:u w:val="none"/>
        </w:rPr>
        <w:t>触发</w:t>
      </w:r>
      <w:r>
        <w:rPr>
          <w:rFonts w:hint="default" w:ascii="Times New Roman" w:hAnsi="Times New Roman" w:eastAsia="仿宋_GB2312" w:cs="Times New Roman"/>
          <w:color w:val="auto"/>
          <w:sz w:val="32"/>
          <w:szCs w:val="32"/>
          <w:highlight w:val="none"/>
          <w:u w:val="none"/>
          <w:lang w:eastAsia="zh-CN"/>
        </w:rPr>
        <w:t>条件的，履行调价程序，并在省制定的指导价范围内实施价格动态调整。</w:t>
      </w:r>
      <w:r>
        <w:rPr>
          <w:rFonts w:hint="default" w:ascii="Times New Roman" w:hAnsi="Times New Roman" w:eastAsia="仿宋_GB2312" w:cs="Times New Roman"/>
          <w:color w:val="auto"/>
          <w:sz w:val="32"/>
          <w:szCs w:val="32"/>
          <w:highlight w:val="none"/>
          <w:u w:val="none"/>
        </w:rPr>
        <w:t>按照省的有关部署做好新增项目的申报工作。</w:t>
      </w:r>
      <w:r>
        <w:rPr>
          <w:rFonts w:hint="eastAsia" w:ascii="仿宋" w:hAnsi="仿宋" w:eastAsia="仿宋" w:cs="仿宋"/>
          <w:sz w:val="32"/>
          <w:szCs w:val="32"/>
          <w:lang w:val="en-US" w:eastAsia="zh-CN"/>
        </w:rPr>
        <w:t>按省要求</w:t>
      </w:r>
      <w:r>
        <w:rPr>
          <w:rFonts w:hint="default" w:ascii="Times New Roman" w:hAnsi="Times New Roman" w:eastAsia="仿宋_GB2312" w:cs="Times New Roman"/>
          <w:color w:val="auto"/>
          <w:sz w:val="32"/>
          <w:szCs w:val="32"/>
          <w:highlight w:val="none"/>
          <w:u w:val="none"/>
        </w:rPr>
        <w:t>推进医疗服务定价方式改革，建立医疗服务价格管理系统，力争到</w:t>
      </w:r>
      <w:r>
        <w:rPr>
          <w:rFonts w:hint="eastAsia" w:ascii="Times New Roman" w:hAnsi="Times New Roman" w:eastAsia="仿宋_GB2312" w:cs="Times New Roman"/>
          <w:color w:val="auto"/>
          <w:sz w:val="32"/>
          <w:szCs w:val="32"/>
          <w:highlight w:val="none"/>
          <w:u w:val="none"/>
          <w:lang w:eastAsia="zh-CN"/>
        </w:rPr>
        <w:t>“十四五”期末</w:t>
      </w:r>
      <w:r>
        <w:rPr>
          <w:rFonts w:hint="default" w:ascii="Times New Roman" w:hAnsi="Times New Roman" w:eastAsia="仿宋_GB2312" w:cs="Times New Roman"/>
          <w:color w:val="auto"/>
          <w:sz w:val="32"/>
          <w:szCs w:val="32"/>
          <w:highlight w:val="none"/>
          <w:u w:val="none"/>
        </w:rPr>
        <w:t>，全市医疗服务价格管理主要业务均通过信息系统实现。</w:t>
      </w:r>
    </w:p>
    <w:p>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Cs/>
          <w:color w:val="auto"/>
          <w:sz w:val="32"/>
          <w:szCs w:val="32"/>
          <w:highlight w:val="none"/>
          <w:u w:val="none"/>
        </w:rPr>
        <w:t>应用医保大数据技术，健全医药价格的动态监测预警体系。</w:t>
      </w:r>
      <w:r>
        <w:rPr>
          <w:rFonts w:hint="default" w:ascii="Times New Roman" w:hAnsi="Times New Roman" w:eastAsia="仿宋_GB2312" w:cs="Times New Roman"/>
          <w:color w:val="auto"/>
          <w:sz w:val="32"/>
          <w:szCs w:val="32"/>
          <w:highlight w:val="none"/>
          <w:u w:val="none"/>
        </w:rPr>
        <w:t>将定点医疗机构和</w:t>
      </w:r>
      <w:r>
        <w:rPr>
          <w:rFonts w:hint="default" w:ascii="Times New Roman" w:hAnsi="Times New Roman" w:eastAsia="仿宋_GB2312" w:cs="Times New Roman"/>
          <w:color w:val="auto"/>
          <w:sz w:val="32"/>
          <w:szCs w:val="32"/>
          <w:highlight w:val="none"/>
          <w:u w:val="none"/>
          <w:lang w:eastAsia="zh-CN"/>
        </w:rPr>
        <w:t>零售</w:t>
      </w:r>
      <w:r>
        <w:rPr>
          <w:rFonts w:hint="default" w:ascii="Times New Roman" w:hAnsi="Times New Roman" w:eastAsia="仿宋_GB2312" w:cs="Times New Roman"/>
          <w:color w:val="auto"/>
          <w:sz w:val="32"/>
          <w:szCs w:val="32"/>
          <w:highlight w:val="none"/>
          <w:u w:val="none"/>
        </w:rPr>
        <w:t>药店作为管控的重要起点，并逐步探索建立跨部门统一的信息平台，实现医药价格的实时动态监测评估，掌握真实交易价格数据，反映真实的成本、收益信息和控</w:t>
      </w:r>
      <w:r>
        <w:rPr>
          <w:rFonts w:hint="default" w:ascii="Times New Roman" w:hAnsi="Times New Roman" w:eastAsia="仿宋_GB2312" w:cs="Times New Roman"/>
          <w:color w:val="auto"/>
          <w:sz w:val="32"/>
          <w:szCs w:val="32"/>
          <w:highlight w:val="none"/>
          <w:u w:val="none"/>
          <w:shd w:val="clear" w:color="auto" w:fill="auto"/>
        </w:rPr>
        <w:t>费</w:t>
      </w:r>
      <w:r>
        <w:rPr>
          <w:rFonts w:hint="default" w:ascii="Times New Roman" w:hAnsi="Times New Roman" w:eastAsia="仿宋_GB2312" w:cs="Times New Roman"/>
          <w:color w:val="auto"/>
          <w:sz w:val="32"/>
          <w:szCs w:val="32"/>
          <w:highlight w:val="none"/>
          <w:u w:val="none"/>
        </w:rPr>
        <w:t>情况。</w:t>
      </w:r>
    </w:p>
    <w:p>
      <w:pPr>
        <w:spacing w:line="600" w:lineRule="exact"/>
        <w:ind w:firstLine="640" w:firstLineChars="200"/>
        <w:rPr>
          <w:rFonts w:hint="default" w:ascii="Times New Roman" w:hAnsi="Times New Roman" w:eastAsia="仿宋_GB2312" w:cs="Times New Roman"/>
          <w:color w:val="auto"/>
          <w:sz w:val="32"/>
          <w:szCs w:val="32"/>
          <w:highlight w:val="none"/>
          <w:u w:val="none"/>
        </w:rPr>
      </w:pPr>
    </w:p>
    <w:p>
      <w:pPr>
        <w:pStyle w:val="4"/>
        <w:numPr>
          <w:ilvl w:val="0"/>
          <w:numId w:val="0"/>
        </w:numPr>
        <w:spacing w:before="0" w:beforeLines="0" w:after="0" w:afterLines="0" w:line="600" w:lineRule="exact"/>
        <w:jc w:val="center"/>
        <w:outlineLvl w:val="1"/>
        <w:rPr>
          <w:rFonts w:hint="default" w:ascii="Times New Roman" w:hAnsi="Times New Roman" w:eastAsia="黑体" w:cs="Times New Roman"/>
          <w:b w:val="0"/>
          <w:bCs/>
          <w:color w:val="auto"/>
          <w:sz w:val="32"/>
          <w:szCs w:val="32"/>
          <w:highlight w:val="none"/>
          <w:u w:val="none"/>
          <w:lang w:eastAsia="zh-CN"/>
        </w:rPr>
      </w:pPr>
      <w:r>
        <w:rPr>
          <w:rFonts w:hint="default" w:ascii="Times New Roman" w:hAnsi="Times New Roman" w:eastAsia="黑体" w:cs="Times New Roman"/>
          <w:b w:val="0"/>
          <w:bCs/>
          <w:color w:val="auto"/>
          <w:sz w:val="32"/>
          <w:szCs w:val="32"/>
          <w:highlight w:val="none"/>
          <w:u w:val="none"/>
        </w:rPr>
        <w:t>第</w:t>
      </w:r>
      <w:r>
        <w:rPr>
          <w:rFonts w:hint="default" w:ascii="Times New Roman" w:hAnsi="Times New Roman" w:eastAsia="黑体" w:cs="Times New Roman"/>
          <w:b w:val="0"/>
          <w:bCs/>
          <w:color w:val="auto"/>
          <w:sz w:val="32"/>
          <w:szCs w:val="32"/>
          <w:highlight w:val="none"/>
          <w:u w:val="none"/>
          <w:lang w:eastAsia="zh-CN"/>
        </w:rPr>
        <w:t>三</w:t>
      </w:r>
      <w:r>
        <w:rPr>
          <w:rFonts w:hint="default" w:ascii="Times New Roman" w:hAnsi="Times New Roman" w:eastAsia="黑体" w:cs="Times New Roman"/>
          <w:b w:val="0"/>
          <w:bCs/>
          <w:color w:val="auto"/>
          <w:sz w:val="32"/>
          <w:szCs w:val="32"/>
          <w:highlight w:val="none"/>
          <w:u w:val="none"/>
        </w:rPr>
        <w:t>节</w:t>
      </w:r>
      <w:r>
        <w:rPr>
          <w:rFonts w:hint="default" w:ascii="Times New Roman" w:hAnsi="Times New Roman" w:eastAsia="黑体" w:cs="Times New Roman"/>
          <w:b w:val="0"/>
          <w:bCs/>
          <w:color w:val="auto"/>
          <w:sz w:val="32"/>
          <w:szCs w:val="32"/>
          <w:highlight w:val="none"/>
          <w:u w:val="none"/>
          <w:lang w:val="en-US" w:eastAsia="zh-CN"/>
        </w:rPr>
        <w:t xml:space="preserve"> </w:t>
      </w:r>
      <w:r>
        <w:rPr>
          <w:rFonts w:hint="default" w:ascii="Times New Roman" w:hAnsi="Times New Roman" w:eastAsia="黑体" w:cs="Times New Roman"/>
          <w:b w:val="0"/>
          <w:bCs/>
          <w:color w:val="auto"/>
          <w:sz w:val="32"/>
          <w:szCs w:val="32"/>
          <w:highlight w:val="none"/>
          <w:u w:val="none"/>
          <w:lang w:eastAsia="zh-CN"/>
        </w:rPr>
        <w:t>优化</w:t>
      </w:r>
      <w:r>
        <w:rPr>
          <w:rFonts w:hint="default" w:ascii="Times New Roman" w:hAnsi="Times New Roman" w:eastAsia="黑体" w:cs="Times New Roman"/>
          <w:b w:val="0"/>
          <w:bCs/>
          <w:color w:val="auto"/>
          <w:sz w:val="32"/>
          <w:szCs w:val="32"/>
          <w:highlight w:val="none"/>
          <w:u w:val="none"/>
        </w:rPr>
        <w:t>提升</w:t>
      </w:r>
      <w:r>
        <w:rPr>
          <w:rFonts w:hint="default" w:ascii="Times New Roman" w:hAnsi="Times New Roman" w:eastAsia="黑体" w:cs="Times New Roman"/>
          <w:b w:val="0"/>
          <w:bCs/>
          <w:color w:val="auto"/>
          <w:sz w:val="32"/>
          <w:szCs w:val="32"/>
          <w:highlight w:val="none"/>
          <w:u w:val="none"/>
          <w:lang w:eastAsia="zh-CN"/>
        </w:rPr>
        <w:t>医药</w:t>
      </w:r>
      <w:r>
        <w:rPr>
          <w:rFonts w:hint="default" w:ascii="Times New Roman" w:hAnsi="Times New Roman" w:eastAsia="黑体" w:cs="Times New Roman"/>
          <w:b w:val="0"/>
          <w:bCs/>
          <w:color w:val="auto"/>
          <w:sz w:val="32"/>
          <w:szCs w:val="32"/>
          <w:highlight w:val="none"/>
          <w:u w:val="none"/>
        </w:rPr>
        <w:t>服务能力</w:t>
      </w:r>
    </w:p>
    <w:p>
      <w:pPr>
        <w:widowControl w:val="0"/>
        <w:pBdr>
          <w:top w:val="none" w:color="auto" w:sz="0" w:space="0"/>
          <w:left w:val="none" w:color="auto" w:sz="0" w:space="0"/>
          <w:bottom w:val="none" w:color="auto" w:sz="0" w:space="0"/>
          <w:right w:val="none" w:color="auto" w:sz="0" w:space="0"/>
        </w:pBdr>
        <w:wordWrap/>
        <w:adjustRightInd/>
        <w:snapToGrid/>
        <w:spacing w:before="0" w:beforeLines="0" w:beforeAutospacing="0" w:after="0" w:afterLines="0" w:afterAutospacing="0" w:line="600" w:lineRule="exact"/>
        <w:ind w:left="0" w:right="0" w:firstLine="640" w:firstLineChars="200"/>
        <w:jc w:val="left"/>
        <w:textAlignment w:val="auto"/>
        <w:rPr>
          <w:rFonts w:hint="default" w:ascii="Times New Roman" w:hAnsi="Times New Roman" w:eastAsia="仿宋_GB2312" w:cs="Times New Roman"/>
          <w:bCs/>
          <w:color w:val="auto"/>
          <w:kern w:val="2"/>
          <w:sz w:val="32"/>
          <w:szCs w:val="32"/>
          <w:highlight w:val="none"/>
          <w:u w:val="none"/>
          <w:lang w:val="en-US" w:eastAsia="zh-CN" w:bidi="ar-SA"/>
        </w:rPr>
      </w:pPr>
      <w:r>
        <w:rPr>
          <w:rFonts w:hint="default" w:ascii="Times New Roman" w:hAnsi="Times New Roman" w:eastAsia="仿宋_GB2312" w:cs="Times New Roman"/>
          <w:bCs/>
          <w:color w:val="auto"/>
          <w:kern w:val="2"/>
          <w:sz w:val="32"/>
          <w:szCs w:val="32"/>
          <w:highlight w:val="none"/>
          <w:u w:val="none"/>
          <w:lang w:val="en-US" w:eastAsia="zh-CN" w:bidi="ar-SA"/>
        </w:rPr>
        <w:t>加强医保目录和支付管理。按照国家和省的统一部署，贯彻执行统一的药品、诊疗项目、医用耗材医保目录和医保支付标准，支持新医疗技术、新药的应用，将临床价值高、经济性评价优良的药品、诊疗项目、医用耗材纳入医保支付范围。积极推动药品目录管理和支付管理相衔接，引导规范医疗服务行为，促进药品、诊疗项目、医用耗材合理使用。</w:t>
      </w:r>
    </w:p>
    <w:p>
      <w:pPr>
        <w:widowControl w:val="0"/>
        <w:pBdr>
          <w:top w:val="none" w:color="auto" w:sz="0" w:space="0"/>
          <w:left w:val="none" w:color="auto" w:sz="0" w:space="0"/>
          <w:bottom w:val="none" w:color="auto" w:sz="0" w:space="0"/>
          <w:right w:val="none" w:color="auto" w:sz="0" w:space="0"/>
        </w:pBdr>
        <w:wordWrap/>
        <w:adjustRightInd/>
        <w:snapToGrid/>
        <w:spacing w:before="0" w:beforeLines="0" w:beforeAutospacing="0" w:after="0" w:afterLines="0" w:afterAutospacing="0" w:line="600" w:lineRule="exact"/>
        <w:ind w:left="0" w:right="0" w:firstLine="640" w:firstLineChars="200"/>
        <w:jc w:val="left"/>
        <w:textAlignment w:val="auto"/>
        <w:rPr>
          <w:rFonts w:hint="default" w:ascii="Times New Roman" w:hAnsi="Times New Roman" w:eastAsia="仿宋_GB2312" w:cs="Times New Roman"/>
          <w:bCs/>
          <w:color w:val="auto"/>
          <w:kern w:val="2"/>
          <w:sz w:val="32"/>
          <w:szCs w:val="32"/>
          <w:highlight w:val="none"/>
          <w:u w:val="none"/>
          <w:lang w:val="en-US" w:eastAsia="zh-CN" w:bidi="ar-SA"/>
        </w:rPr>
      </w:pPr>
      <w:r>
        <w:rPr>
          <w:rFonts w:hint="default" w:ascii="Times New Roman" w:hAnsi="Times New Roman" w:eastAsia="仿宋_GB2312" w:cs="Times New Roman"/>
          <w:bCs/>
          <w:color w:val="auto"/>
          <w:kern w:val="2"/>
          <w:sz w:val="32"/>
          <w:szCs w:val="32"/>
          <w:highlight w:val="none"/>
          <w:u w:val="none"/>
          <w:lang w:val="en-US" w:eastAsia="zh-CN" w:bidi="ar-SA"/>
        </w:rPr>
        <w:t>支持分级诊疗发展。加大医保政策引导参保人基层首诊的力度</w:t>
      </w:r>
      <w:r>
        <w:rPr>
          <w:rFonts w:hint="eastAsia" w:ascii="Times New Roman" w:hAnsi="Times New Roman" w:eastAsia="仿宋_GB2312" w:cs="Times New Roman"/>
          <w:bCs/>
          <w:color w:val="auto"/>
          <w:kern w:val="2"/>
          <w:sz w:val="32"/>
          <w:szCs w:val="32"/>
          <w:highlight w:val="none"/>
          <w:u w:val="none"/>
          <w:lang w:val="en-US" w:eastAsia="zh-CN" w:bidi="ar-SA"/>
        </w:rPr>
        <w:t>，</w:t>
      </w:r>
      <w:r>
        <w:rPr>
          <w:rFonts w:hint="default" w:ascii="Times New Roman" w:hAnsi="Times New Roman" w:eastAsia="仿宋_GB2312" w:cs="Times New Roman"/>
          <w:bCs/>
          <w:color w:val="auto"/>
          <w:kern w:val="2"/>
          <w:sz w:val="32"/>
          <w:szCs w:val="32"/>
          <w:highlight w:val="none"/>
          <w:u w:val="none"/>
          <w:lang w:val="en-US" w:eastAsia="zh-CN" w:bidi="ar-SA"/>
        </w:rPr>
        <w:t>引导患者需求下沉，引导轻症患者基层就诊。加强各级医疗机构之间的分工协作，明确基层医疗卫生机构的定位及服务范围，支持家庭医生签约服务发展，坚持基层首诊、双向转诊、急慢分治、上下联动的就医秩序，引导居民合理有序就医。适应老龄化程度快速提升的趋势，支持康复医疗的发展，支持</w:t>
      </w:r>
      <w:r>
        <w:rPr>
          <w:rFonts w:hint="default" w:ascii="Times New Roman" w:hAnsi="Times New Roman" w:eastAsia="仿宋_GB2312" w:cs="Times New Roman"/>
          <w:bCs/>
          <w:color w:val="auto"/>
          <w:kern w:val="2"/>
          <w:sz w:val="32"/>
          <w:szCs w:val="32"/>
          <w:highlight w:val="none"/>
          <w:u w:val="none"/>
          <w:shd w:val="clear" w:color="auto" w:fill="auto"/>
          <w:lang w:val="en-US" w:eastAsia="zh-CN" w:bidi="ar-SA"/>
        </w:rPr>
        <w:t>医</w:t>
      </w:r>
      <w:r>
        <w:rPr>
          <w:rFonts w:hint="default" w:ascii="Times New Roman" w:hAnsi="Times New Roman" w:eastAsia="仿宋_GB2312" w:cs="Times New Roman"/>
          <w:bCs/>
          <w:color w:val="auto"/>
          <w:kern w:val="2"/>
          <w:sz w:val="32"/>
          <w:szCs w:val="32"/>
          <w:highlight w:val="none"/>
          <w:u w:val="none"/>
          <w:lang w:val="en-US" w:eastAsia="zh-CN" w:bidi="ar-SA"/>
        </w:rPr>
        <w:t>养结合的发展。</w:t>
      </w:r>
    </w:p>
    <w:p>
      <w:pPr>
        <w:widowControl w:val="0"/>
        <w:pBdr>
          <w:top w:val="none" w:color="auto" w:sz="0" w:space="0"/>
          <w:left w:val="none" w:color="auto" w:sz="0" w:space="0"/>
          <w:bottom w:val="none" w:color="auto" w:sz="0" w:space="0"/>
          <w:right w:val="none" w:color="auto" w:sz="0" w:space="0"/>
        </w:pBdr>
        <w:wordWrap/>
        <w:adjustRightInd/>
        <w:snapToGrid/>
        <w:spacing w:before="0" w:beforeLines="0" w:beforeAutospacing="0" w:after="0" w:afterLines="0" w:afterAutospacing="0" w:line="600" w:lineRule="exact"/>
        <w:ind w:left="0" w:right="0" w:firstLine="640" w:firstLineChars="200"/>
        <w:jc w:val="left"/>
        <w:textAlignment w:val="auto"/>
        <w:rPr>
          <w:rFonts w:hint="default" w:ascii="Times New Roman" w:hAnsi="Times New Roman" w:eastAsia="仿宋_GB2312" w:cs="Times New Roman"/>
          <w:bCs/>
          <w:color w:val="auto"/>
          <w:kern w:val="2"/>
          <w:sz w:val="32"/>
          <w:szCs w:val="32"/>
          <w:highlight w:val="none"/>
          <w:u w:val="none"/>
          <w:lang w:val="en-US" w:eastAsia="zh-CN" w:bidi="ar-SA"/>
        </w:rPr>
      </w:pPr>
      <w:r>
        <w:rPr>
          <w:rFonts w:hint="default" w:ascii="Times New Roman" w:hAnsi="Times New Roman" w:eastAsia="仿宋_GB2312" w:cs="Times New Roman"/>
          <w:bCs/>
          <w:color w:val="auto"/>
          <w:kern w:val="2"/>
          <w:sz w:val="32"/>
          <w:szCs w:val="32"/>
          <w:highlight w:val="none"/>
          <w:u w:val="none"/>
          <w:lang w:val="en-US" w:eastAsia="zh-CN" w:bidi="ar-SA"/>
        </w:rPr>
        <w:t>支持民营医院发展。鼓励社会资本办医，在医保准入问题上，坚持对公立医院与民营医院一视同仁，将符合条件的非公立医疗机构纳入医保定点范围，加大医疗服务市场的竞争，提升医疗服务的效率。完善配套的监管体系，加强监管力度。</w:t>
      </w:r>
    </w:p>
    <w:p>
      <w:pPr>
        <w:widowControl w:val="0"/>
        <w:pBdr>
          <w:top w:val="none" w:color="auto" w:sz="0" w:space="0"/>
          <w:left w:val="none" w:color="auto" w:sz="0" w:space="0"/>
          <w:bottom w:val="none" w:color="auto" w:sz="0" w:space="0"/>
          <w:right w:val="none" w:color="auto" w:sz="0" w:space="0"/>
        </w:pBdr>
        <w:wordWrap/>
        <w:adjustRightInd/>
        <w:snapToGrid/>
        <w:spacing w:before="0" w:beforeLines="0" w:beforeAutospacing="0" w:after="0" w:afterLines="0" w:afterAutospacing="0" w:line="600" w:lineRule="exact"/>
        <w:ind w:left="0" w:right="0" w:firstLine="640" w:firstLineChars="200"/>
        <w:jc w:val="left"/>
        <w:textAlignment w:val="auto"/>
        <w:rPr>
          <w:rFonts w:hint="default" w:ascii="Times New Roman" w:hAnsi="Times New Roman" w:eastAsia="仿宋_GB2312" w:cs="Times New Roman"/>
          <w:bCs/>
          <w:color w:val="auto"/>
          <w:kern w:val="2"/>
          <w:sz w:val="32"/>
          <w:szCs w:val="32"/>
          <w:highlight w:val="none"/>
          <w:u w:val="none"/>
          <w:lang w:val="en-US" w:eastAsia="zh-CN" w:bidi="ar-SA"/>
        </w:rPr>
      </w:pPr>
      <w:r>
        <w:rPr>
          <w:rFonts w:hint="default" w:ascii="Times New Roman" w:hAnsi="Times New Roman" w:eastAsia="仿宋_GB2312" w:cs="Times New Roman"/>
          <w:bCs/>
          <w:color w:val="auto"/>
          <w:kern w:val="2"/>
          <w:sz w:val="32"/>
          <w:szCs w:val="32"/>
          <w:highlight w:val="none"/>
          <w:u w:val="none"/>
          <w:lang w:val="en-US" w:eastAsia="zh-CN" w:bidi="ar-SA"/>
        </w:rPr>
        <w:t>发展</w:t>
      </w:r>
      <w:r>
        <w:rPr>
          <w:rFonts w:hint="eastAsia" w:ascii="Times New Roman" w:hAnsi="Times New Roman" w:cs="Times New Roman"/>
          <w:bCs/>
          <w:color w:val="auto"/>
          <w:kern w:val="2"/>
          <w:sz w:val="32"/>
          <w:szCs w:val="32"/>
          <w:highlight w:val="none"/>
          <w:u w:val="none"/>
          <w:lang w:val="en-US" w:eastAsia="zh-CN" w:bidi="ar-SA"/>
        </w:rPr>
        <w:t>“</w:t>
      </w:r>
      <w:r>
        <w:rPr>
          <w:rFonts w:hint="default" w:ascii="Times New Roman" w:hAnsi="Times New Roman" w:eastAsia="仿宋_GB2312" w:cs="Times New Roman"/>
          <w:bCs/>
          <w:color w:val="auto"/>
          <w:kern w:val="2"/>
          <w:sz w:val="32"/>
          <w:szCs w:val="32"/>
          <w:highlight w:val="none"/>
          <w:u w:val="none"/>
          <w:lang w:val="en-US" w:eastAsia="zh-CN" w:bidi="ar-SA"/>
        </w:rPr>
        <w:t>互联网＋</w:t>
      </w:r>
      <w:r>
        <w:rPr>
          <w:rFonts w:hint="eastAsia" w:ascii="Times New Roman" w:hAnsi="Times New Roman" w:cs="Times New Roman"/>
          <w:bCs/>
          <w:color w:val="auto"/>
          <w:kern w:val="2"/>
          <w:sz w:val="32"/>
          <w:szCs w:val="32"/>
          <w:highlight w:val="none"/>
          <w:u w:val="none"/>
          <w:lang w:val="en-US" w:eastAsia="zh-CN" w:bidi="ar-SA"/>
        </w:rPr>
        <w:t>”</w:t>
      </w:r>
      <w:r>
        <w:rPr>
          <w:rFonts w:hint="default" w:ascii="Times New Roman" w:hAnsi="Times New Roman" w:eastAsia="仿宋_GB2312" w:cs="Times New Roman"/>
          <w:bCs/>
          <w:color w:val="auto"/>
          <w:kern w:val="2"/>
          <w:sz w:val="32"/>
          <w:szCs w:val="32"/>
          <w:highlight w:val="none"/>
          <w:u w:val="none"/>
          <w:lang w:val="en-US" w:eastAsia="zh-CN" w:bidi="ar-SA"/>
        </w:rPr>
        <w:t>医保服务。按照国家和省统一部署，将符合条件的</w:t>
      </w:r>
      <w:r>
        <w:rPr>
          <w:rFonts w:hint="eastAsia" w:ascii="Times New Roman" w:hAnsi="Times New Roman" w:cs="Times New Roman"/>
          <w:bCs/>
          <w:color w:val="auto"/>
          <w:kern w:val="2"/>
          <w:sz w:val="32"/>
          <w:szCs w:val="32"/>
          <w:highlight w:val="none"/>
          <w:u w:val="none"/>
          <w:lang w:val="en-US" w:eastAsia="zh-CN" w:bidi="ar-SA"/>
        </w:rPr>
        <w:t>“</w:t>
      </w:r>
      <w:r>
        <w:rPr>
          <w:rFonts w:hint="default" w:ascii="Times New Roman" w:hAnsi="Times New Roman" w:eastAsia="仿宋_GB2312" w:cs="Times New Roman"/>
          <w:bCs/>
          <w:color w:val="auto"/>
          <w:kern w:val="2"/>
          <w:sz w:val="32"/>
          <w:szCs w:val="32"/>
          <w:highlight w:val="none"/>
          <w:u w:val="none"/>
          <w:lang w:val="en-US" w:eastAsia="zh-CN" w:bidi="ar-SA"/>
        </w:rPr>
        <w:t>互联网＋医疗</w:t>
      </w:r>
      <w:r>
        <w:rPr>
          <w:rFonts w:hint="eastAsia" w:ascii="Times New Roman" w:hAnsi="Times New Roman" w:cs="Times New Roman"/>
          <w:bCs/>
          <w:color w:val="auto"/>
          <w:kern w:val="2"/>
          <w:sz w:val="32"/>
          <w:szCs w:val="32"/>
          <w:highlight w:val="none"/>
          <w:u w:val="none"/>
          <w:lang w:val="en-US" w:eastAsia="zh-CN" w:bidi="ar-SA"/>
        </w:rPr>
        <w:t>”</w:t>
      </w:r>
      <w:r>
        <w:rPr>
          <w:rFonts w:hint="default" w:ascii="Times New Roman" w:hAnsi="Times New Roman" w:eastAsia="仿宋_GB2312" w:cs="Times New Roman"/>
          <w:bCs/>
          <w:color w:val="auto"/>
          <w:kern w:val="2"/>
          <w:sz w:val="32"/>
          <w:szCs w:val="32"/>
          <w:highlight w:val="none"/>
          <w:u w:val="none"/>
          <w:lang w:val="en-US" w:eastAsia="zh-CN" w:bidi="ar-SA"/>
        </w:rPr>
        <w:t>的基本医疗服务费用按规定纳入医保支付范围。根据</w:t>
      </w:r>
      <w:r>
        <w:rPr>
          <w:rFonts w:hint="eastAsia" w:ascii="Times New Roman" w:hAnsi="Times New Roman" w:cs="Times New Roman"/>
          <w:bCs/>
          <w:color w:val="auto"/>
          <w:kern w:val="2"/>
          <w:sz w:val="32"/>
          <w:szCs w:val="32"/>
          <w:highlight w:val="none"/>
          <w:u w:val="none"/>
          <w:lang w:val="en-US" w:eastAsia="zh-CN" w:bidi="ar-SA"/>
        </w:rPr>
        <w:t>“</w:t>
      </w:r>
      <w:r>
        <w:rPr>
          <w:rFonts w:hint="default" w:ascii="Times New Roman" w:hAnsi="Times New Roman" w:eastAsia="仿宋_GB2312" w:cs="Times New Roman"/>
          <w:bCs/>
          <w:color w:val="auto"/>
          <w:kern w:val="2"/>
          <w:sz w:val="32"/>
          <w:szCs w:val="32"/>
          <w:highlight w:val="none"/>
          <w:u w:val="none"/>
          <w:lang w:val="en-US" w:eastAsia="zh-CN" w:bidi="ar-SA"/>
        </w:rPr>
        <w:t>互联网＋</w:t>
      </w:r>
      <w:r>
        <w:rPr>
          <w:rFonts w:hint="eastAsia" w:ascii="Times New Roman" w:hAnsi="Times New Roman" w:cs="Times New Roman"/>
          <w:bCs/>
          <w:color w:val="auto"/>
          <w:kern w:val="2"/>
          <w:sz w:val="32"/>
          <w:szCs w:val="32"/>
          <w:highlight w:val="none"/>
          <w:u w:val="none"/>
          <w:lang w:val="en-US" w:eastAsia="zh-CN" w:bidi="ar-SA"/>
        </w:rPr>
        <w:t>”</w:t>
      </w:r>
      <w:r>
        <w:rPr>
          <w:rFonts w:hint="default" w:ascii="Times New Roman" w:hAnsi="Times New Roman" w:eastAsia="仿宋_GB2312" w:cs="Times New Roman"/>
          <w:bCs/>
          <w:color w:val="auto"/>
          <w:kern w:val="2"/>
          <w:sz w:val="32"/>
          <w:szCs w:val="32"/>
          <w:highlight w:val="none"/>
          <w:u w:val="none"/>
          <w:lang w:val="en-US" w:eastAsia="zh-CN" w:bidi="ar-SA"/>
        </w:rPr>
        <w:t>医疗服务的特点，完善定点医疗机构服务协议，调整医保信息系统，优化结算流程。加强医疗服务监管，支持定点医疗机构依托</w:t>
      </w:r>
      <w:r>
        <w:rPr>
          <w:rFonts w:hint="eastAsia" w:ascii="Times New Roman" w:hAnsi="Times New Roman" w:cs="Times New Roman"/>
          <w:bCs/>
          <w:color w:val="auto"/>
          <w:kern w:val="2"/>
          <w:sz w:val="32"/>
          <w:szCs w:val="32"/>
          <w:highlight w:val="none"/>
          <w:u w:val="none"/>
          <w:lang w:val="en-US" w:eastAsia="zh-CN" w:bidi="ar-SA"/>
        </w:rPr>
        <w:t>“</w:t>
      </w:r>
      <w:r>
        <w:rPr>
          <w:rFonts w:hint="default" w:ascii="Times New Roman" w:hAnsi="Times New Roman" w:eastAsia="仿宋_GB2312" w:cs="Times New Roman"/>
          <w:bCs/>
          <w:color w:val="auto"/>
          <w:kern w:val="2"/>
          <w:sz w:val="32"/>
          <w:szCs w:val="32"/>
          <w:highlight w:val="none"/>
          <w:u w:val="none"/>
          <w:lang w:val="en-US" w:eastAsia="zh-CN" w:bidi="ar-SA"/>
        </w:rPr>
        <w:t>互联网＋</w:t>
      </w:r>
      <w:r>
        <w:rPr>
          <w:rFonts w:hint="eastAsia" w:ascii="Times New Roman" w:hAnsi="Times New Roman" w:cs="Times New Roman"/>
          <w:bCs/>
          <w:color w:val="auto"/>
          <w:kern w:val="2"/>
          <w:sz w:val="32"/>
          <w:szCs w:val="32"/>
          <w:highlight w:val="none"/>
          <w:u w:val="none"/>
          <w:lang w:val="en-US" w:eastAsia="zh-CN" w:bidi="ar-SA"/>
        </w:rPr>
        <w:t>”</w:t>
      </w:r>
      <w:r>
        <w:rPr>
          <w:rFonts w:hint="default" w:ascii="Times New Roman" w:hAnsi="Times New Roman" w:eastAsia="仿宋_GB2312" w:cs="Times New Roman"/>
          <w:bCs/>
          <w:color w:val="auto"/>
          <w:kern w:val="2"/>
          <w:sz w:val="32"/>
          <w:szCs w:val="32"/>
          <w:highlight w:val="none"/>
          <w:u w:val="none"/>
          <w:lang w:val="en-US" w:eastAsia="zh-CN" w:bidi="ar-SA"/>
        </w:rPr>
        <w:t>提供规范、便捷、优质、高效的医疗服务。</w:t>
      </w:r>
    </w:p>
    <w:p>
      <w:pPr>
        <w:widowControl w:val="0"/>
        <w:pBdr>
          <w:top w:val="none" w:color="auto" w:sz="0" w:space="0"/>
          <w:left w:val="none" w:color="auto" w:sz="0" w:space="0"/>
          <w:bottom w:val="none" w:color="auto" w:sz="0" w:space="0"/>
          <w:right w:val="none" w:color="auto" w:sz="0" w:space="0"/>
        </w:pBdr>
        <w:wordWrap/>
        <w:adjustRightInd/>
        <w:snapToGrid/>
        <w:spacing w:before="0" w:beforeLines="0" w:beforeAutospacing="0" w:after="0" w:afterLines="0" w:afterAutospacing="0" w:line="600" w:lineRule="exact"/>
        <w:ind w:left="0" w:right="0" w:firstLine="640" w:firstLineChars="200"/>
        <w:jc w:val="left"/>
        <w:textAlignment w:val="auto"/>
        <w:rPr>
          <w:rFonts w:hint="default" w:ascii="Times New Roman" w:hAnsi="Times New Roman" w:eastAsia="仿宋_GB2312" w:cs="Times New Roman"/>
          <w:bCs/>
          <w:color w:val="auto"/>
          <w:kern w:val="2"/>
          <w:sz w:val="32"/>
          <w:szCs w:val="32"/>
          <w:highlight w:val="none"/>
          <w:u w:val="none"/>
          <w:lang w:val="en-US" w:eastAsia="zh-CN" w:bidi="ar-SA"/>
        </w:rPr>
      </w:pPr>
      <w:r>
        <w:rPr>
          <w:rFonts w:hint="default" w:ascii="Times New Roman" w:hAnsi="Times New Roman" w:eastAsia="仿宋_GB2312" w:cs="Times New Roman"/>
          <w:bCs/>
          <w:color w:val="auto"/>
          <w:kern w:val="2"/>
          <w:sz w:val="32"/>
          <w:szCs w:val="32"/>
          <w:highlight w:val="none"/>
          <w:u w:val="none"/>
          <w:lang w:val="en-US" w:eastAsia="zh-CN" w:bidi="ar-SA"/>
        </w:rPr>
        <w:t>加强医药服务评价管理。建立健全由医保部门牵头、定点医疗机构代表组成的医保支付制度评议组织，营造共建共治共享的环境，进一步健全医保部门与医疗机构之间良性互动机制。建立针对不同支付方式的医疗服务行为监督管理办法，完善医药服务评价机制，健全与医疗质量 、协议履行绩效考核结果相挂钩机制，医保基金预付及结算管理机制。</w:t>
      </w:r>
    </w:p>
    <w:p>
      <w:pPr>
        <w:widowControl w:val="0"/>
        <w:numPr>
          <w:ilvl w:val="0"/>
          <w:numId w:val="0"/>
        </w:numPr>
        <w:spacing w:line="600" w:lineRule="exact"/>
        <w:jc w:val="both"/>
        <w:rPr>
          <w:rFonts w:hint="default" w:ascii="Times New Roman" w:hAnsi="Times New Roman" w:cs="Times New Roman"/>
          <w:color w:val="auto"/>
          <w:highlight w:val="none"/>
          <w:u w:val="none"/>
        </w:rPr>
      </w:pPr>
    </w:p>
    <w:tbl>
      <w:tblPr>
        <w:tblStyle w:val="13"/>
        <w:tblpPr w:leftFromText="180" w:rightFromText="180" w:vertAnchor="text" w:horzAnchor="page" w:tblpX="1725" w:tblpY="34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00" w:type="dxa"/>
            <w:tcBorders>
              <w:top w:val="single" w:color="auto" w:sz="4" w:space="0"/>
              <w:left w:val="single" w:color="auto" w:sz="4" w:space="0"/>
              <w:bottom w:val="single" w:color="auto" w:sz="4" w:space="0"/>
              <w:right w:val="single" w:color="auto" w:sz="4" w:space="0"/>
            </w:tcBorders>
            <w:noWrap w:val="0"/>
            <w:vAlign w:val="center"/>
          </w:tcPr>
          <w:p>
            <w:pPr>
              <w:pStyle w:val="3"/>
              <w:spacing w:line="600" w:lineRule="exact"/>
              <w:jc w:val="center"/>
              <w:outlineLvl w:val="1"/>
              <w:rPr>
                <w:rFonts w:hint="default" w:ascii="Times New Roman" w:hAnsi="Times New Roman" w:cs="Times New Roman"/>
                <w:b w:val="0"/>
                <w:bCs/>
                <w:color w:val="auto"/>
                <w:szCs w:val="32"/>
                <w:highlight w:val="none"/>
                <w:u w:val="none"/>
              </w:rPr>
            </w:pPr>
            <w:r>
              <w:rPr>
                <w:rFonts w:hint="eastAsia" w:ascii="仿宋_GB2312" w:hAnsi="仿宋_GB2312" w:eastAsia="仿宋_GB2312" w:cs="仿宋_GB2312"/>
                <w:bCs/>
                <w:color w:val="auto"/>
                <w:sz w:val="32"/>
                <w:szCs w:val="32"/>
                <w:highlight w:val="none"/>
                <w:u w:val="none"/>
              </w:rPr>
              <w:t>专栏6  医药服务重点项目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8900" w:type="dxa"/>
            <w:tcBorders>
              <w:top w:val="single" w:color="auto" w:sz="4" w:space="0"/>
              <w:left w:val="single" w:color="auto" w:sz="4" w:space="0"/>
              <w:bottom w:val="single" w:color="auto" w:sz="4" w:space="0"/>
              <w:right w:val="single" w:color="auto" w:sz="4" w:space="0"/>
            </w:tcBorders>
            <w:noWrap w:val="0"/>
            <w:vAlign w:val="center"/>
          </w:tcPr>
          <w:p>
            <w:pPr>
              <w:pStyle w:val="18"/>
              <w:widowControl w:val="0"/>
              <w:numPr>
                <w:ilvl w:val="0"/>
                <w:numId w:val="0"/>
              </w:numPr>
              <w:wordWrap/>
              <w:adjustRightInd/>
              <w:snapToGrid/>
              <w:spacing w:line="600" w:lineRule="exact"/>
              <w:ind w:left="0" w:leftChars="0" w:firstLine="480" w:firstLineChars="200"/>
              <w:textAlignment w:val="auto"/>
              <w:rPr>
                <w:rFonts w:hint="default" w:ascii="Times New Roman" w:hAnsi="Times New Roman" w:cs="Times New Roman"/>
                <w:color w:val="auto"/>
                <w:highlight w:val="none"/>
                <w:u w:val="none"/>
              </w:rPr>
            </w:pPr>
            <w:r>
              <w:rPr>
                <w:rFonts w:hint="eastAsia" w:ascii="仿宋_GB2312" w:hAnsi="仿宋_GB2312" w:eastAsia="仿宋_GB2312" w:cs="仿宋_GB2312"/>
                <w:color w:val="auto"/>
                <w:sz w:val="24"/>
                <w:szCs w:val="24"/>
                <w:highlight w:val="none"/>
                <w:u w:val="none"/>
                <w:lang w:eastAsia="zh-CN"/>
              </w:rPr>
              <w:t>优化医疗保障公共服务。积极落实“互联网＋医保”，结合服务特点完善协议管理、结算流程，积极探索信息共享，实现处方流转、在线支付结算、送药上门一体化服务。</w:t>
            </w:r>
          </w:p>
        </w:tc>
      </w:tr>
    </w:tbl>
    <w:p>
      <w:pPr>
        <w:pStyle w:val="18"/>
        <w:spacing w:line="600" w:lineRule="exact"/>
        <w:ind w:left="0" w:leftChars="0" w:firstLine="0" w:firstLineChars="0"/>
        <w:rPr>
          <w:rFonts w:hint="default" w:ascii="Times New Roman" w:hAnsi="Times New Roman" w:cs="Times New Roman"/>
          <w:color w:val="auto"/>
          <w:highlight w:val="none"/>
          <w:u w:val="none"/>
        </w:rPr>
      </w:pPr>
    </w:p>
    <w:p>
      <w:pPr>
        <w:spacing w:line="600" w:lineRule="exact"/>
        <w:rPr>
          <w:rFonts w:hint="default" w:ascii="Times New Roman" w:hAnsi="Times New Roman" w:cs="Times New Roman"/>
          <w:color w:val="auto"/>
          <w:highlight w:val="none"/>
          <w:u w:val="none"/>
        </w:rPr>
      </w:pPr>
    </w:p>
    <w:p>
      <w:pPr>
        <w:pStyle w:val="18"/>
        <w:spacing w:line="600" w:lineRule="exact"/>
        <w:ind w:left="0" w:leftChars="0"/>
        <w:rPr>
          <w:rFonts w:hint="default" w:ascii="Times New Roman" w:hAnsi="Times New Roman" w:cs="Times New Roman"/>
          <w:color w:val="auto"/>
          <w:highlight w:val="none"/>
          <w:u w:val="none"/>
        </w:rPr>
      </w:pPr>
    </w:p>
    <w:p>
      <w:pPr>
        <w:spacing w:line="600" w:lineRule="exact"/>
        <w:rPr>
          <w:rFonts w:hint="default" w:ascii="Times New Roman" w:hAnsi="Times New Roman" w:cs="Times New Roman"/>
          <w:color w:val="auto"/>
          <w:highlight w:val="none"/>
          <w:u w:val="none"/>
        </w:rPr>
      </w:pPr>
    </w:p>
    <w:p>
      <w:pPr>
        <w:pStyle w:val="3"/>
        <w:numPr>
          <w:ilvl w:val="0"/>
          <w:numId w:val="1"/>
        </w:numPr>
        <w:spacing w:before="0" w:beforeLines="0" w:after="0" w:afterLines="0" w:line="600" w:lineRule="exact"/>
        <w:ind w:left="0" w:firstLine="0"/>
        <w:jc w:val="center"/>
        <w:outlineLvl w:val="0"/>
        <w:rPr>
          <w:rStyle w:val="15"/>
          <w:rFonts w:hint="default" w:ascii="Times New Roman" w:hAnsi="Times New Roman" w:eastAsia="方正小标宋简体" w:cs="Times New Roman"/>
          <w:b w:val="0"/>
          <w:color w:val="auto"/>
          <w:sz w:val="36"/>
          <w:szCs w:val="36"/>
          <w:highlight w:val="none"/>
          <w:u w:val="none"/>
        </w:rPr>
      </w:pPr>
      <w:r>
        <w:rPr>
          <w:rStyle w:val="15"/>
          <w:rFonts w:hint="default" w:ascii="Times New Roman" w:hAnsi="Times New Roman" w:eastAsia="方正小标宋简体" w:cs="Times New Roman"/>
          <w:b w:val="0"/>
          <w:color w:val="auto"/>
          <w:sz w:val="36"/>
          <w:szCs w:val="36"/>
          <w:highlight w:val="none"/>
          <w:u w:val="none"/>
        </w:rPr>
        <w:t xml:space="preserve">  优化医疗保障公共管理服务</w:t>
      </w:r>
    </w:p>
    <w:p>
      <w:pPr>
        <w:pStyle w:val="3"/>
        <w:numPr>
          <w:ilvl w:val="0"/>
          <w:numId w:val="0"/>
        </w:numPr>
        <w:spacing w:before="0" w:beforeLines="0" w:after="0" w:afterLines="0" w:line="600" w:lineRule="exact"/>
        <w:ind w:left="0" w:firstLine="0"/>
        <w:jc w:val="both"/>
        <w:outlineLvl w:val="0"/>
        <w:rPr>
          <w:rStyle w:val="15"/>
          <w:rFonts w:hint="default" w:ascii="Times New Roman" w:hAnsi="Times New Roman" w:eastAsia="方正小标宋简体" w:cs="Times New Roman"/>
          <w:b w:val="0"/>
          <w:color w:val="auto"/>
          <w:sz w:val="36"/>
          <w:szCs w:val="36"/>
          <w:highlight w:val="none"/>
          <w:u w:val="none"/>
        </w:rPr>
      </w:pPr>
    </w:p>
    <w:p>
      <w:pPr>
        <w:pStyle w:val="4"/>
        <w:spacing w:before="0" w:beforeLines="0" w:after="0" w:afterLines="0" w:line="600" w:lineRule="exact"/>
        <w:jc w:val="center"/>
        <w:outlineLvl w:val="1"/>
        <w:rPr>
          <w:rFonts w:hint="default" w:ascii="Times New Roman" w:hAnsi="Times New Roman" w:eastAsia="黑体" w:cs="Times New Roman"/>
          <w:b w:val="0"/>
          <w:bCs/>
          <w:color w:val="auto"/>
          <w:sz w:val="32"/>
          <w:szCs w:val="32"/>
          <w:highlight w:val="none"/>
          <w:u w:val="none"/>
          <w:lang w:eastAsia="zh-CN"/>
        </w:rPr>
      </w:pPr>
      <w:r>
        <w:rPr>
          <w:rFonts w:hint="default" w:ascii="Times New Roman" w:hAnsi="Times New Roman" w:eastAsia="黑体" w:cs="Times New Roman"/>
          <w:b w:val="0"/>
          <w:bCs/>
          <w:color w:val="auto"/>
          <w:sz w:val="32"/>
          <w:szCs w:val="32"/>
          <w:highlight w:val="none"/>
          <w:u w:val="none"/>
        </w:rPr>
        <w:t xml:space="preserve">第一节 </w:t>
      </w:r>
      <w:r>
        <w:rPr>
          <w:rFonts w:hint="default" w:ascii="Times New Roman" w:hAnsi="Times New Roman" w:eastAsia="黑体" w:cs="Times New Roman"/>
          <w:b w:val="0"/>
          <w:bCs/>
          <w:color w:val="auto"/>
          <w:sz w:val="32"/>
          <w:szCs w:val="32"/>
          <w:highlight w:val="none"/>
          <w:u w:val="none"/>
          <w:lang w:val="en-US" w:eastAsia="zh-CN"/>
        </w:rPr>
        <w:t>加强经办管理服务体系建设</w:t>
      </w:r>
    </w:p>
    <w:p>
      <w:pPr>
        <w:spacing w:line="60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构建统一规范的医保经办管理服务体系。统一经办规程，规范服务标识、窗口设置、服务事项、服务流程等，推进标准化窗口及</w:t>
      </w:r>
      <w:r>
        <w:rPr>
          <w:rFonts w:hint="eastAsia" w:ascii="Times New Roman" w:hAnsi="Times New Roman" w:eastAsia="仿宋_GB2312" w:cs="Times New Roman"/>
          <w:color w:val="auto"/>
          <w:sz w:val="32"/>
          <w:szCs w:val="32"/>
          <w:highlight w:val="none"/>
          <w:u w:val="none"/>
          <w:lang w:val="en-US" w:eastAsia="zh-CN"/>
        </w:rPr>
        <w:t>“十四五”</w:t>
      </w:r>
      <w:r>
        <w:rPr>
          <w:rFonts w:hint="default" w:ascii="Times New Roman" w:hAnsi="Times New Roman" w:eastAsia="仿宋_GB2312" w:cs="Times New Roman"/>
          <w:color w:val="auto"/>
          <w:sz w:val="32"/>
          <w:szCs w:val="32"/>
          <w:highlight w:val="none"/>
          <w:u w:val="none"/>
          <w:lang w:val="en-US" w:eastAsia="zh-CN"/>
        </w:rPr>
        <w:t>医疗保障服务示范工程</w:t>
      </w:r>
      <w:r>
        <w:rPr>
          <w:rFonts w:hint="eastAsia" w:ascii="Times New Roman" w:hAnsi="Times New Roman" w:eastAsia="仿宋_GB2312" w:cs="Times New Roman"/>
          <w:color w:val="auto"/>
          <w:sz w:val="32"/>
          <w:szCs w:val="32"/>
          <w:highlight w:val="none"/>
          <w:u w:val="none"/>
          <w:lang w:val="en-US" w:eastAsia="zh-CN"/>
        </w:rPr>
        <w:t>建设</w:t>
      </w:r>
      <w:r>
        <w:rPr>
          <w:rFonts w:hint="default" w:ascii="Times New Roman" w:hAnsi="Times New Roman" w:eastAsia="仿宋_GB2312" w:cs="Times New Roman"/>
          <w:color w:val="auto"/>
          <w:sz w:val="32"/>
          <w:szCs w:val="32"/>
          <w:highlight w:val="none"/>
          <w:u w:val="none"/>
          <w:lang w:val="en-US" w:eastAsia="zh-CN"/>
        </w:rPr>
        <w:t>。建立覆盖</w:t>
      </w:r>
      <w:r>
        <w:rPr>
          <w:rFonts w:hint="eastAsia" w:ascii="Times New Roman" w:hAnsi="Times New Roman" w:eastAsia="仿宋_GB2312" w:cs="Times New Roman"/>
          <w:color w:val="auto"/>
          <w:sz w:val="32"/>
          <w:szCs w:val="32"/>
          <w:highlight w:val="none"/>
          <w:u w:val="none"/>
          <w:lang w:val="en-US" w:eastAsia="zh-CN"/>
        </w:rPr>
        <w:t>区（县级市）</w:t>
      </w:r>
      <w:r>
        <w:rPr>
          <w:rFonts w:hint="default" w:ascii="Times New Roman" w:hAnsi="Times New Roman" w:eastAsia="仿宋_GB2312" w:cs="Times New Roman"/>
          <w:color w:val="auto"/>
          <w:sz w:val="32"/>
          <w:szCs w:val="32"/>
          <w:highlight w:val="none"/>
          <w:u w:val="none"/>
          <w:lang w:val="en-US" w:eastAsia="zh-CN"/>
        </w:rPr>
        <w:t>、乡镇（街道）、村（社区）的医疗保障服务网络，加强医保经办力量，推动医保服务下沉。</w:t>
      </w:r>
    </w:p>
    <w:p>
      <w:pPr>
        <w:spacing w:line="60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提升服务质量。坚持传统服务方式与新型服务方式并行，为群众提供优质服务。实行医疗保障</w:t>
      </w:r>
      <w:r>
        <w:rPr>
          <w:rFonts w:hint="eastAsia" w:ascii="Times New Roman" w:hAnsi="Times New Roman"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一站式</w:t>
      </w:r>
      <w:r>
        <w:rPr>
          <w:rFonts w:hint="eastAsia" w:ascii="Times New Roman" w:hAnsi="Times New Roman"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服务，</w:t>
      </w:r>
      <w:r>
        <w:rPr>
          <w:rFonts w:hint="eastAsia" w:ascii="Times New Roman" w:hAnsi="Times New Roman"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一窗口</w:t>
      </w:r>
      <w:r>
        <w:rPr>
          <w:rFonts w:hint="eastAsia" w:ascii="Times New Roman" w:hAnsi="Times New Roman"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办理、</w:t>
      </w:r>
      <w:r>
        <w:rPr>
          <w:rFonts w:hint="eastAsia" w:ascii="Times New Roman" w:hAnsi="Times New Roman"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一单制</w:t>
      </w:r>
      <w:r>
        <w:rPr>
          <w:rFonts w:hint="eastAsia" w:ascii="Times New Roman" w:hAnsi="Times New Roman"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结算。推进医保政务服务事项</w:t>
      </w:r>
      <w:r>
        <w:rPr>
          <w:rFonts w:hint="eastAsia" w:ascii="Times New Roman" w:hAnsi="Times New Roman"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网上办</w:t>
      </w:r>
      <w:r>
        <w:rPr>
          <w:rFonts w:hint="eastAsia" w:ascii="Times New Roman" w:hAnsi="Times New Roman"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指尖</w:t>
      </w:r>
      <w:r>
        <w:rPr>
          <w:rFonts w:hint="default" w:ascii="Times New Roman" w:hAnsi="Times New Roman" w:eastAsia="仿宋_GB2312" w:cs="Times New Roman"/>
          <w:color w:val="auto"/>
          <w:sz w:val="32"/>
          <w:szCs w:val="32"/>
          <w:highlight w:val="none"/>
          <w:u w:val="none"/>
          <w:shd w:val="clear" w:color="auto" w:fill="auto"/>
          <w:lang w:val="en-US" w:eastAsia="zh-CN"/>
        </w:rPr>
        <w:t>办</w:t>
      </w:r>
      <w:r>
        <w:rPr>
          <w:rFonts w:hint="eastAsia" w:ascii="Times New Roman" w:hAnsi="Times New Roman"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，推动更多医保经办服务事项实现</w:t>
      </w:r>
      <w:r>
        <w:rPr>
          <w:rFonts w:hint="eastAsia" w:ascii="Times New Roman" w:hAnsi="Times New Roman"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市内通</w:t>
      </w:r>
      <w:r>
        <w:rPr>
          <w:rFonts w:hint="default" w:ascii="Times New Roman" w:hAnsi="Times New Roman" w:eastAsia="仿宋_GB2312" w:cs="Times New Roman"/>
          <w:color w:val="auto"/>
          <w:sz w:val="32"/>
          <w:szCs w:val="32"/>
          <w:highlight w:val="none"/>
          <w:u w:val="none"/>
          <w:shd w:val="clear" w:color="auto" w:fill="auto"/>
          <w:lang w:val="en-US" w:eastAsia="zh-CN"/>
        </w:rPr>
        <w:t>办</w:t>
      </w:r>
      <w:r>
        <w:rPr>
          <w:rFonts w:hint="eastAsia" w:ascii="Times New Roman" w:hAnsi="Times New Roman"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省内通</w:t>
      </w:r>
      <w:r>
        <w:rPr>
          <w:rFonts w:hint="default" w:ascii="Times New Roman" w:hAnsi="Times New Roman" w:eastAsia="仿宋_GB2312" w:cs="Times New Roman"/>
          <w:color w:val="auto"/>
          <w:sz w:val="32"/>
          <w:szCs w:val="32"/>
          <w:highlight w:val="none"/>
          <w:u w:val="none"/>
          <w:shd w:val="clear" w:color="auto" w:fill="auto"/>
          <w:lang w:val="en-US" w:eastAsia="zh-CN"/>
        </w:rPr>
        <w:t>办</w:t>
      </w:r>
      <w:r>
        <w:rPr>
          <w:rFonts w:hint="eastAsia" w:ascii="Times New Roman" w:hAnsi="Times New Roman"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跨省通</w:t>
      </w:r>
      <w:r>
        <w:rPr>
          <w:rFonts w:hint="default" w:ascii="Times New Roman" w:hAnsi="Times New Roman" w:eastAsia="仿宋_GB2312" w:cs="Times New Roman"/>
          <w:color w:val="auto"/>
          <w:sz w:val="32"/>
          <w:szCs w:val="32"/>
          <w:highlight w:val="none"/>
          <w:u w:val="none"/>
          <w:shd w:val="clear" w:color="auto" w:fill="auto"/>
          <w:lang w:val="en-US" w:eastAsia="zh-CN"/>
        </w:rPr>
        <w:t>办</w:t>
      </w:r>
      <w:r>
        <w:rPr>
          <w:rFonts w:hint="eastAsia" w:ascii="Times New Roman" w:hAnsi="Times New Roman"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。健全政务服务</w:t>
      </w:r>
      <w:r>
        <w:rPr>
          <w:rFonts w:hint="eastAsia" w:ascii="Times New Roman" w:hAnsi="Times New Roman"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好差</w:t>
      </w:r>
      <w:r>
        <w:rPr>
          <w:rFonts w:hint="default" w:ascii="Times New Roman" w:hAnsi="Times New Roman" w:eastAsia="仿宋_GB2312" w:cs="Times New Roman"/>
          <w:color w:val="auto"/>
          <w:sz w:val="32"/>
          <w:szCs w:val="32"/>
          <w:highlight w:val="none"/>
          <w:u w:val="none"/>
          <w:shd w:val="clear" w:color="auto" w:fill="auto"/>
          <w:lang w:val="en-US" w:eastAsia="zh-CN"/>
        </w:rPr>
        <w:t>评</w:t>
      </w:r>
      <w:r>
        <w:rPr>
          <w:rFonts w:hint="eastAsia" w:ascii="Times New Roman" w:hAnsi="Times New Roman"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制度，落实医疗保障政务服务评价标准体系及实施方法。</w:t>
      </w:r>
    </w:p>
    <w:p>
      <w:pPr>
        <w:spacing w:line="600" w:lineRule="exact"/>
        <w:ind w:firstLine="640" w:firstLineChars="200"/>
        <w:rPr>
          <w:rFonts w:hint="default" w:ascii="Times New Roman" w:hAnsi="Times New Roman" w:eastAsia="仿宋_GB2312" w:cs="Times New Roman"/>
          <w:color w:val="auto"/>
          <w:sz w:val="32"/>
          <w:szCs w:val="32"/>
          <w:highlight w:val="none"/>
          <w:u w:val="none"/>
          <w:lang w:val="en-US" w:eastAsia="zh-CN"/>
        </w:rPr>
      </w:pPr>
    </w:p>
    <w:p>
      <w:pPr>
        <w:pStyle w:val="4"/>
        <w:spacing w:before="0" w:beforeLines="0" w:after="0" w:afterLines="0" w:line="600" w:lineRule="exact"/>
        <w:jc w:val="center"/>
        <w:outlineLvl w:val="1"/>
        <w:rPr>
          <w:rFonts w:hint="default" w:ascii="Times New Roman" w:hAnsi="Times New Roman" w:eastAsia="黑体" w:cs="Times New Roman"/>
          <w:b/>
          <w:bCs/>
          <w:color w:val="auto"/>
          <w:sz w:val="32"/>
          <w:szCs w:val="32"/>
          <w:highlight w:val="none"/>
          <w:u w:val="none"/>
          <w:lang w:eastAsia="zh-CN"/>
        </w:rPr>
      </w:pPr>
      <w:r>
        <w:rPr>
          <w:rFonts w:hint="default" w:ascii="Times New Roman" w:hAnsi="Times New Roman" w:eastAsia="黑体" w:cs="Times New Roman"/>
          <w:b w:val="0"/>
          <w:bCs/>
          <w:color w:val="auto"/>
          <w:sz w:val="32"/>
          <w:szCs w:val="32"/>
          <w:highlight w:val="none"/>
          <w:u w:val="none"/>
        </w:rPr>
        <w:t>第二节 加快</w:t>
      </w:r>
      <w:r>
        <w:rPr>
          <w:rFonts w:hint="default" w:ascii="Times New Roman" w:hAnsi="Times New Roman" w:eastAsia="黑体" w:cs="Times New Roman"/>
          <w:b w:val="0"/>
          <w:bCs/>
          <w:color w:val="auto"/>
          <w:sz w:val="32"/>
          <w:szCs w:val="32"/>
          <w:highlight w:val="none"/>
          <w:u w:val="none"/>
          <w:lang w:eastAsia="zh-CN"/>
        </w:rPr>
        <w:t>完善</w:t>
      </w:r>
      <w:r>
        <w:rPr>
          <w:rFonts w:hint="default" w:ascii="Times New Roman" w:hAnsi="Times New Roman" w:eastAsia="黑体" w:cs="Times New Roman"/>
          <w:b w:val="0"/>
          <w:bCs/>
          <w:color w:val="auto"/>
          <w:sz w:val="32"/>
          <w:szCs w:val="32"/>
          <w:highlight w:val="none"/>
          <w:u w:val="none"/>
        </w:rPr>
        <w:t>医疗保障</w:t>
      </w:r>
      <w:r>
        <w:rPr>
          <w:rFonts w:hint="default" w:ascii="Times New Roman" w:hAnsi="Times New Roman" w:eastAsia="黑体" w:cs="Times New Roman"/>
          <w:b w:val="0"/>
          <w:bCs/>
          <w:color w:val="auto"/>
          <w:sz w:val="32"/>
          <w:szCs w:val="32"/>
          <w:highlight w:val="none"/>
          <w:u w:val="none"/>
          <w:lang w:eastAsia="zh-CN"/>
        </w:rPr>
        <w:t>大数据</w:t>
      </w:r>
      <w:r>
        <w:rPr>
          <w:rFonts w:hint="default" w:ascii="Times New Roman" w:hAnsi="Times New Roman" w:eastAsia="黑体" w:cs="Times New Roman"/>
          <w:b w:val="0"/>
          <w:bCs/>
          <w:color w:val="auto"/>
          <w:sz w:val="32"/>
          <w:szCs w:val="32"/>
          <w:highlight w:val="none"/>
          <w:u w:val="none"/>
        </w:rPr>
        <w:t>信息</w:t>
      </w:r>
      <w:r>
        <w:rPr>
          <w:rFonts w:hint="default" w:ascii="Times New Roman" w:hAnsi="Times New Roman" w:eastAsia="黑体" w:cs="Times New Roman"/>
          <w:b w:val="0"/>
          <w:bCs/>
          <w:color w:val="auto"/>
          <w:sz w:val="32"/>
          <w:szCs w:val="32"/>
          <w:highlight w:val="none"/>
          <w:u w:val="none"/>
          <w:lang w:eastAsia="zh-CN"/>
        </w:rPr>
        <w:t>应用</w:t>
      </w:r>
    </w:p>
    <w:p>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Cs/>
          <w:color w:val="auto"/>
          <w:sz w:val="32"/>
          <w:szCs w:val="32"/>
          <w:highlight w:val="none"/>
          <w:u w:val="none"/>
        </w:rPr>
        <w:t>推进医疗保障信息系统</w:t>
      </w:r>
      <w:r>
        <w:rPr>
          <w:rFonts w:hint="default" w:ascii="Times New Roman" w:hAnsi="Times New Roman" w:eastAsia="仿宋_GB2312" w:cs="Times New Roman"/>
          <w:bCs/>
          <w:color w:val="auto"/>
          <w:sz w:val="32"/>
          <w:szCs w:val="32"/>
          <w:highlight w:val="none"/>
          <w:u w:val="none"/>
          <w:lang w:eastAsia="zh-CN"/>
        </w:rPr>
        <w:t>应用</w:t>
      </w:r>
      <w:r>
        <w:rPr>
          <w:rFonts w:hint="default" w:ascii="Times New Roman" w:hAnsi="Times New Roman" w:eastAsia="仿宋_GB2312" w:cs="Times New Roman"/>
          <w:bCs/>
          <w:color w:val="auto"/>
          <w:sz w:val="32"/>
          <w:szCs w:val="32"/>
          <w:highlight w:val="none"/>
          <w:u w:val="none"/>
        </w:rPr>
        <w:t>，拓展应用场景。</w:t>
      </w:r>
      <w:r>
        <w:rPr>
          <w:rFonts w:hint="default" w:ascii="Times New Roman" w:hAnsi="Times New Roman" w:eastAsia="仿宋_GB2312" w:cs="Times New Roman"/>
          <w:color w:val="auto"/>
          <w:sz w:val="32"/>
          <w:szCs w:val="32"/>
          <w:highlight w:val="none"/>
          <w:u w:val="none"/>
        </w:rPr>
        <w:t>按照国家和省信息化建设的整体规划和要求，结合茂名市的实际需求，</w:t>
      </w:r>
      <w:r>
        <w:rPr>
          <w:rFonts w:hint="default" w:ascii="Times New Roman" w:hAnsi="Times New Roman" w:eastAsia="仿宋_GB2312" w:cs="Times New Roman"/>
          <w:color w:val="auto"/>
          <w:sz w:val="32"/>
          <w:szCs w:val="32"/>
          <w:highlight w:val="none"/>
          <w:u w:val="none"/>
          <w:lang w:eastAsia="zh-CN"/>
        </w:rPr>
        <w:t>完善并推进</w:t>
      </w:r>
      <w:r>
        <w:rPr>
          <w:rFonts w:hint="default" w:ascii="Times New Roman" w:hAnsi="Times New Roman" w:eastAsia="仿宋_GB2312" w:cs="Times New Roman"/>
          <w:color w:val="auto"/>
          <w:sz w:val="32"/>
          <w:szCs w:val="32"/>
          <w:highlight w:val="none"/>
          <w:u w:val="none"/>
        </w:rPr>
        <w:t>统一、高效、兼容、便捷、安全的医疗保障信息系统</w:t>
      </w:r>
      <w:r>
        <w:rPr>
          <w:rFonts w:hint="default" w:ascii="Times New Roman" w:hAnsi="Times New Roman" w:eastAsia="仿宋_GB2312" w:cs="Times New Roman"/>
          <w:color w:val="auto"/>
          <w:sz w:val="32"/>
          <w:szCs w:val="32"/>
          <w:highlight w:val="none"/>
          <w:u w:val="none"/>
          <w:lang w:eastAsia="zh-CN"/>
        </w:rPr>
        <w:t>建设应用</w:t>
      </w:r>
      <w:r>
        <w:rPr>
          <w:rFonts w:hint="default" w:ascii="Times New Roman" w:hAnsi="Times New Roman" w:eastAsia="仿宋_GB2312" w:cs="Times New Roman"/>
          <w:color w:val="auto"/>
          <w:sz w:val="32"/>
          <w:szCs w:val="32"/>
          <w:highlight w:val="none"/>
          <w:u w:val="none"/>
        </w:rPr>
        <w:t>。推广应用医保电子凭证，增加支持使用的定点医药机构数量，拓展应用场景。探索区块链技术在医疗电子票据、电子处方流转等方面应用，打造线上线下一体新业态，实现精确监管、科学决策和个性化服务。</w:t>
      </w:r>
    </w:p>
    <w:p>
      <w:pPr>
        <w:spacing w:line="60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Cs/>
          <w:color w:val="auto"/>
          <w:sz w:val="32"/>
          <w:szCs w:val="32"/>
          <w:highlight w:val="none"/>
          <w:u w:val="none"/>
          <w:lang w:eastAsia="zh-CN"/>
        </w:rPr>
        <w:t>完善</w:t>
      </w:r>
      <w:r>
        <w:rPr>
          <w:rFonts w:hint="default" w:ascii="Times New Roman" w:hAnsi="Times New Roman" w:eastAsia="仿宋_GB2312" w:cs="Times New Roman"/>
          <w:bCs/>
          <w:color w:val="auto"/>
          <w:sz w:val="32"/>
          <w:szCs w:val="32"/>
          <w:highlight w:val="none"/>
          <w:u w:val="none"/>
        </w:rPr>
        <w:t>集管理、决策、应用三大功能的医疗保</w:t>
      </w:r>
      <w:r>
        <w:rPr>
          <w:rFonts w:hint="default" w:ascii="Times New Roman" w:hAnsi="Times New Roman" w:eastAsia="仿宋_GB2312" w:cs="Times New Roman"/>
          <w:bCs/>
          <w:color w:val="auto"/>
          <w:sz w:val="32"/>
          <w:szCs w:val="32"/>
          <w:highlight w:val="none"/>
          <w:u w:val="none"/>
          <w:lang w:eastAsia="zh-CN"/>
        </w:rPr>
        <w:t>障</w:t>
      </w:r>
      <w:r>
        <w:rPr>
          <w:rFonts w:hint="default" w:ascii="Times New Roman" w:hAnsi="Times New Roman" w:eastAsia="仿宋_GB2312" w:cs="Times New Roman"/>
          <w:bCs/>
          <w:color w:val="auto"/>
          <w:sz w:val="32"/>
          <w:szCs w:val="32"/>
          <w:highlight w:val="none"/>
          <w:u w:val="none"/>
        </w:rPr>
        <w:t>大数据信息平台</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做好</w:t>
      </w:r>
      <w:r>
        <w:rPr>
          <w:rFonts w:hint="default" w:ascii="Times New Roman" w:hAnsi="Times New Roman" w:eastAsia="仿宋_GB2312" w:cs="Times New Roman"/>
          <w:color w:val="auto"/>
          <w:sz w:val="32"/>
          <w:szCs w:val="32"/>
          <w:highlight w:val="none"/>
          <w:u w:val="none"/>
        </w:rPr>
        <w:t>基本医疗保障全国联网和异地就医直接结算，</w:t>
      </w:r>
      <w:r>
        <w:rPr>
          <w:rFonts w:hint="eastAsia" w:ascii="仿宋" w:hAnsi="仿宋" w:eastAsia="仿宋" w:cs="仿宋"/>
          <w:sz w:val="32"/>
          <w:szCs w:val="32"/>
          <w:lang w:eastAsia="zh-CN"/>
        </w:rPr>
        <w:t>简化优化异地就医备案服务，</w:t>
      </w:r>
      <w:r>
        <w:rPr>
          <w:rFonts w:hint="default" w:ascii="Times New Roman" w:hAnsi="Times New Roman" w:eastAsia="仿宋_GB2312" w:cs="Times New Roman"/>
          <w:color w:val="auto"/>
          <w:sz w:val="32"/>
          <w:szCs w:val="32"/>
          <w:highlight w:val="none"/>
          <w:u w:val="none"/>
        </w:rPr>
        <w:t>健全异地转诊的政策措施，加强参保地与就医地协作，方便群众结算，减少群众</w:t>
      </w:r>
      <w:r>
        <w:rPr>
          <w:rFonts w:hint="eastAsia" w:ascii="Times New Roman" w:hAnsi="Times New Roman"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跑腿</w:t>
      </w:r>
      <w:r>
        <w:rPr>
          <w:rFonts w:hint="eastAsia" w:ascii="Times New Roman" w:hAnsi="Times New Roman"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垫资</w:t>
      </w:r>
      <w:r>
        <w:rPr>
          <w:rFonts w:hint="eastAsia" w:ascii="Times New Roman" w:hAnsi="Times New Roman"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。推行运用医疗服务监控系统。强化医疗服务协议管理。</w:t>
      </w:r>
    </w:p>
    <w:p>
      <w:pPr>
        <w:spacing w:line="600" w:lineRule="exact"/>
        <w:ind w:firstLine="640" w:firstLineChars="200"/>
        <w:rPr>
          <w:rFonts w:hint="default" w:ascii="Times New Roman" w:hAnsi="Times New Roman" w:eastAsia="仿宋_GB2312" w:cs="Times New Roman"/>
          <w:bCs/>
          <w:color w:val="auto"/>
          <w:sz w:val="32"/>
          <w:szCs w:val="32"/>
          <w:highlight w:val="none"/>
          <w:u w:val="none"/>
        </w:rPr>
      </w:pPr>
      <w:r>
        <w:rPr>
          <w:rFonts w:hint="default" w:ascii="Times New Roman" w:hAnsi="Times New Roman" w:eastAsia="仿宋_GB2312" w:cs="Times New Roman"/>
          <w:bCs/>
          <w:color w:val="auto"/>
          <w:sz w:val="32"/>
          <w:szCs w:val="32"/>
          <w:highlight w:val="none"/>
          <w:u w:val="none"/>
        </w:rPr>
        <w:t>加强医保部门与医院、医药信息系统的对接和共享。创新医疗保障服务新模式，积极构建实体大厅与网上平台、移动终端、自助终端、咨询热线等互为补充的全方位经办服务格局。根据省的部署，落实推进医保经办系统信息标准的统一。</w:t>
      </w:r>
    </w:p>
    <w:p>
      <w:pPr>
        <w:spacing w:line="600" w:lineRule="exact"/>
        <w:ind w:firstLine="640" w:firstLineChars="200"/>
        <w:rPr>
          <w:rFonts w:hint="default" w:ascii="Times New Roman" w:hAnsi="Times New Roman" w:eastAsia="仿宋_GB2312" w:cs="Times New Roman"/>
          <w:bCs/>
          <w:color w:val="auto"/>
          <w:sz w:val="32"/>
          <w:szCs w:val="32"/>
          <w:highlight w:val="none"/>
          <w:u w:val="none"/>
        </w:rPr>
      </w:pPr>
    </w:p>
    <w:p>
      <w:pPr>
        <w:pStyle w:val="4"/>
        <w:spacing w:before="0" w:beforeLines="0" w:after="0" w:afterLines="0" w:line="600" w:lineRule="exact"/>
        <w:jc w:val="center"/>
        <w:outlineLvl w:val="1"/>
        <w:rPr>
          <w:rFonts w:hint="default" w:ascii="Times New Roman" w:hAnsi="Times New Roman" w:eastAsia="黑体" w:cs="Times New Roman"/>
          <w:b w:val="0"/>
          <w:bCs/>
          <w:color w:val="auto"/>
          <w:sz w:val="32"/>
          <w:szCs w:val="32"/>
          <w:highlight w:val="none"/>
          <w:u w:val="none"/>
        </w:rPr>
      </w:pPr>
      <w:r>
        <w:rPr>
          <w:rFonts w:hint="default" w:ascii="Times New Roman" w:hAnsi="Times New Roman" w:eastAsia="黑体" w:cs="Times New Roman"/>
          <w:b w:val="0"/>
          <w:bCs/>
          <w:color w:val="auto"/>
          <w:sz w:val="32"/>
          <w:szCs w:val="32"/>
          <w:highlight w:val="none"/>
          <w:u w:val="none"/>
        </w:rPr>
        <w:t>第三节 加强医疗保障经办能力建设</w:t>
      </w:r>
    </w:p>
    <w:p>
      <w:pPr>
        <w:spacing w:line="600" w:lineRule="exact"/>
        <w:ind w:firstLine="640" w:firstLineChars="200"/>
        <w:rPr>
          <w:rFonts w:hint="default" w:ascii="Times New Roman" w:hAnsi="Times New Roman" w:eastAsia="仿宋_GB2312" w:cs="Times New Roman"/>
          <w:bCs/>
          <w:color w:val="auto"/>
          <w:sz w:val="32"/>
          <w:szCs w:val="32"/>
          <w:highlight w:val="none"/>
          <w:u w:val="none"/>
        </w:rPr>
      </w:pPr>
      <w:r>
        <w:rPr>
          <w:rFonts w:hint="default" w:ascii="Times New Roman" w:hAnsi="Times New Roman" w:eastAsia="仿宋_GB2312" w:cs="Times New Roman"/>
          <w:color w:val="auto"/>
          <w:sz w:val="32"/>
          <w:szCs w:val="32"/>
          <w:highlight w:val="none"/>
          <w:u w:val="none"/>
        </w:rPr>
        <w:t>加强经办服务队伍建设与人才培养。</w:t>
      </w:r>
      <w:r>
        <w:rPr>
          <w:rFonts w:hint="default" w:ascii="Times New Roman" w:hAnsi="Times New Roman" w:eastAsia="仿宋_GB2312" w:cs="Times New Roman"/>
          <w:bCs/>
          <w:color w:val="auto"/>
          <w:sz w:val="32"/>
          <w:szCs w:val="32"/>
          <w:highlight w:val="none"/>
          <w:u w:val="none"/>
        </w:rPr>
        <w:t>打造与新时代医保公共服务要求相适应的专业队伍。建立职业化、专业化的医保经办队伍，巩固医保经办的人力根基。</w:t>
      </w:r>
    </w:p>
    <w:p>
      <w:pPr>
        <w:widowControl/>
        <w:pBdr>
          <w:top w:val="none" w:color="auto" w:sz="0" w:space="0"/>
          <w:left w:val="none" w:color="auto" w:sz="0" w:space="0"/>
          <w:bottom w:val="none" w:color="auto" w:sz="0" w:space="0"/>
          <w:right w:val="none" w:color="auto" w:sz="0" w:space="0"/>
        </w:pBdr>
        <w:shd w:val="clear" w:color="020000" w:fill="auto"/>
        <w:spacing w:line="600" w:lineRule="exact"/>
        <w:ind w:firstLine="640" w:firstLineChars="200"/>
        <w:outlineLvl w:val="9"/>
        <w:rPr>
          <w:rFonts w:hint="default" w:ascii="Times New Roman" w:hAnsi="Times New Roman" w:cs="Times New Roman"/>
          <w:color w:val="auto"/>
          <w:highlight w:val="none"/>
          <w:u w:val="none"/>
          <w:lang w:val="en-US" w:eastAsia="zh-CN"/>
        </w:rPr>
      </w:pPr>
      <w:r>
        <w:rPr>
          <w:rFonts w:hint="default" w:ascii="Times New Roman" w:hAnsi="Times New Roman" w:eastAsia="仿宋_GB2312" w:cs="Times New Roman"/>
          <w:color w:val="auto"/>
          <w:sz w:val="32"/>
          <w:szCs w:val="32"/>
          <w:highlight w:val="none"/>
          <w:u w:val="none"/>
        </w:rPr>
        <w:t>加强</w:t>
      </w:r>
      <w:r>
        <w:rPr>
          <w:rFonts w:hint="default" w:ascii="Times New Roman" w:hAnsi="Times New Roman" w:eastAsia="仿宋_GB2312" w:cs="Times New Roman"/>
          <w:color w:val="auto"/>
          <w:sz w:val="32"/>
          <w:szCs w:val="32"/>
          <w:highlight w:val="none"/>
          <w:u w:val="none"/>
          <w:lang w:eastAsia="zh-CN"/>
        </w:rPr>
        <w:t>基层医保</w:t>
      </w:r>
      <w:r>
        <w:rPr>
          <w:rFonts w:hint="default" w:ascii="Times New Roman" w:hAnsi="Times New Roman" w:eastAsia="仿宋_GB2312" w:cs="Times New Roman"/>
          <w:color w:val="auto"/>
          <w:sz w:val="32"/>
          <w:szCs w:val="32"/>
          <w:highlight w:val="none"/>
          <w:u w:val="none"/>
        </w:rPr>
        <w:t>经办服务队伍建设和服务能力配置，</w:t>
      </w:r>
      <w:r>
        <w:rPr>
          <w:rFonts w:hint="default" w:ascii="Times New Roman" w:hAnsi="Times New Roman" w:eastAsia="仿宋_GB2312" w:cs="Times New Roman"/>
          <w:color w:val="auto"/>
          <w:sz w:val="32"/>
          <w:szCs w:val="32"/>
          <w:highlight w:val="none"/>
          <w:u w:val="none"/>
          <w:lang w:eastAsia="zh-CN"/>
        </w:rPr>
        <w:t>建立健全与服务绩效挂钩的激励约束机制。</w:t>
      </w:r>
      <w:r>
        <w:rPr>
          <w:rFonts w:hint="default" w:ascii="Times New Roman" w:hAnsi="Times New Roman" w:eastAsia="仿宋_GB2312" w:cs="Times New Roman"/>
          <w:color w:val="auto"/>
          <w:sz w:val="32"/>
          <w:szCs w:val="32"/>
          <w:highlight w:val="none"/>
          <w:u w:val="none"/>
          <w:lang w:val="en-US" w:eastAsia="zh-CN"/>
        </w:rPr>
        <w:t>在经办力量配置不足地区，可通过政府购买服务等方式，补齐基层医疗保障公共管理服务能力配置短板。</w:t>
      </w:r>
    </w:p>
    <w:p>
      <w:pPr>
        <w:spacing w:line="600" w:lineRule="exact"/>
        <w:ind w:firstLine="640" w:firstLineChars="200"/>
        <w:rPr>
          <w:rFonts w:hint="default" w:ascii="Times New Roman" w:hAnsi="Times New Roman" w:eastAsia="仿宋_GB2312" w:cs="Times New Roman"/>
          <w:bCs/>
          <w:color w:val="auto"/>
          <w:sz w:val="32"/>
          <w:szCs w:val="32"/>
          <w:highlight w:val="none"/>
          <w:u w:val="none"/>
        </w:rPr>
      </w:pPr>
      <w:r>
        <w:rPr>
          <w:rFonts w:hint="default" w:ascii="Times New Roman" w:hAnsi="Times New Roman" w:eastAsia="仿宋_GB2312" w:cs="Times New Roman"/>
          <w:color w:val="auto"/>
          <w:sz w:val="32"/>
          <w:szCs w:val="32"/>
          <w:highlight w:val="none"/>
          <w:u w:val="none"/>
        </w:rPr>
        <w:t>推进</w:t>
      </w:r>
      <w:r>
        <w:rPr>
          <w:rFonts w:hint="eastAsia" w:ascii="Times New Roman" w:hAnsi="Times New Roman"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三医联动</w:t>
      </w:r>
      <w:r>
        <w:rPr>
          <w:rFonts w:hint="eastAsia" w:ascii="Times New Roman" w:hAnsi="Times New Roman"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，优化经办外部环境。</w:t>
      </w:r>
      <w:r>
        <w:rPr>
          <w:rFonts w:hint="default" w:ascii="Times New Roman" w:hAnsi="Times New Roman" w:eastAsia="仿宋_GB2312" w:cs="Times New Roman"/>
          <w:bCs/>
          <w:color w:val="auto"/>
          <w:sz w:val="32"/>
          <w:szCs w:val="32"/>
          <w:highlight w:val="none"/>
          <w:u w:val="none"/>
        </w:rPr>
        <w:t>在推动医疗保障优化、成熟的同时，着力推进医疗服务、医药供应系统的优化，积极推进建立处方流转平台，通过搭建处方共享服务平台，与定点医疗机构处方信息、医保信息互联互通，为参保患者提供</w:t>
      </w:r>
      <w:r>
        <w:rPr>
          <w:rFonts w:hint="eastAsia" w:ascii="Times New Roman" w:hAnsi="Times New Roman" w:cs="Times New Roman"/>
          <w:bCs/>
          <w:color w:val="auto"/>
          <w:sz w:val="32"/>
          <w:szCs w:val="32"/>
          <w:highlight w:val="none"/>
          <w:u w:val="none"/>
          <w:lang w:eastAsia="zh-CN"/>
        </w:rPr>
        <w:t>“</w:t>
      </w:r>
      <w:r>
        <w:rPr>
          <w:rFonts w:hint="default" w:ascii="Times New Roman" w:hAnsi="Times New Roman" w:eastAsia="仿宋_GB2312" w:cs="Times New Roman"/>
          <w:bCs/>
          <w:color w:val="auto"/>
          <w:sz w:val="32"/>
          <w:szCs w:val="32"/>
          <w:highlight w:val="none"/>
          <w:u w:val="none"/>
        </w:rPr>
        <w:t>一站式</w:t>
      </w:r>
      <w:r>
        <w:rPr>
          <w:rFonts w:hint="eastAsia" w:ascii="Times New Roman" w:hAnsi="Times New Roman" w:cs="Times New Roman"/>
          <w:bCs/>
          <w:color w:val="auto"/>
          <w:sz w:val="32"/>
          <w:szCs w:val="32"/>
          <w:highlight w:val="none"/>
          <w:u w:val="none"/>
          <w:lang w:eastAsia="zh-CN"/>
        </w:rPr>
        <w:t>”</w:t>
      </w:r>
      <w:r>
        <w:rPr>
          <w:rFonts w:hint="default" w:ascii="Times New Roman" w:hAnsi="Times New Roman" w:eastAsia="仿宋_GB2312" w:cs="Times New Roman"/>
          <w:bCs/>
          <w:color w:val="auto"/>
          <w:sz w:val="32"/>
          <w:szCs w:val="32"/>
          <w:highlight w:val="none"/>
          <w:u w:val="none"/>
        </w:rPr>
        <w:t>药品供应和药事服务。</w:t>
      </w:r>
    </w:p>
    <w:p>
      <w:pPr>
        <w:spacing w:line="600" w:lineRule="exact"/>
        <w:ind w:firstLine="640" w:firstLineChars="200"/>
        <w:rPr>
          <w:rFonts w:hint="default" w:ascii="Times New Roman" w:hAnsi="Times New Roman" w:eastAsia="仿宋_GB2312" w:cs="Times New Roman"/>
          <w:bCs/>
          <w:color w:val="auto"/>
          <w:sz w:val="32"/>
          <w:szCs w:val="32"/>
          <w:highlight w:val="none"/>
          <w:u w:val="none"/>
        </w:rPr>
      </w:pPr>
    </w:p>
    <w:p>
      <w:pPr>
        <w:pStyle w:val="4"/>
        <w:spacing w:before="0" w:beforeLines="0" w:after="0" w:afterLines="0" w:line="600" w:lineRule="exact"/>
        <w:jc w:val="center"/>
        <w:outlineLvl w:val="1"/>
        <w:rPr>
          <w:rFonts w:hint="default" w:ascii="Times New Roman" w:hAnsi="Times New Roman" w:eastAsia="黑体" w:cs="Times New Roman"/>
          <w:b w:val="0"/>
          <w:bCs/>
          <w:color w:val="auto"/>
          <w:sz w:val="32"/>
          <w:szCs w:val="32"/>
          <w:highlight w:val="none"/>
          <w:u w:val="none"/>
          <w:lang w:eastAsia="zh-CN"/>
        </w:rPr>
      </w:pPr>
      <w:r>
        <w:rPr>
          <w:rFonts w:hint="default" w:ascii="Times New Roman" w:hAnsi="Times New Roman" w:eastAsia="黑体" w:cs="Times New Roman"/>
          <w:b w:val="0"/>
          <w:bCs/>
          <w:color w:val="auto"/>
          <w:sz w:val="32"/>
          <w:szCs w:val="32"/>
          <w:highlight w:val="none"/>
          <w:u w:val="none"/>
        </w:rPr>
        <w:t>第四节 推进医疗保障服务</w:t>
      </w:r>
      <w:r>
        <w:rPr>
          <w:rFonts w:hint="default" w:ascii="Times New Roman" w:hAnsi="Times New Roman" w:eastAsia="黑体" w:cs="Times New Roman"/>
          <w:b w:val="0"/>
          <w:bCs/>
          <w:color w:val="auto"/>
          <w:sz w:val="32"/>
          <w:szCs w:val="32"/>
          <w:highlight w:val="none"/>
          <w:u w:val="none"/>
          <w:lang w:eastAsia="zh-CN"/>
        </w:rPr>
        <w:t>标准化</w:t>
      </w:r>
    </w:p>
    <w:p>
      <w:pPr>
        <w:spacing w:line="600" w:lineRule="exact"/>
        <w:ind w:firstLine="640" w:firstLineChars="200"/>
        <w:rPr>
          <w:rFonts w:hint="default" w:ascii="Times New Roman" w:hAnsi="Times New Roman" w:eastAsia="仿宋_GB2312" w:cs="Times New Roman"/>
          <w:bCs/>
          <w:color w:val="auto"/>
          <w:sz w:val="32"/>
          <w:szCs w:val="32"/>
          <w:highlight w:val="none"/>
          <w:u w:val="none"/>
        </w:rPr>
      </w:pPr>
      <w:r>
        <w:rPr>
          <w:rFonts w:hint="default" w:ascii="Times New Roman" w:hAnsi="Times New Roman" w:eastAsia="仿宋_GB2312" w:cs="Times New Roman"/>
          <w:bCs/>
          <w:color w:val="auto"/>
          <w:sz w:val="32"/>
          <w:szCs w:val="32"/>
          <w:highlight w:val="none"/>
          <w:u w:val="none"/>
        </w:rPr>
        <w:t>推进医保经办服务</w:t>
      </w:r>
      <w:r>
        <w:rPr>
          <w:rFonts w:hint="default" w:ascii="Times New Roman" w:hAnsi="Times New Roman" w:eastAsia="仿宋_GB2312" w:cs="Times New Roman"/>
          <w:bCs/>
          <w:color w:val="auto"/>
          <w:sz w:val="32"/>
          <w:szCs w:val="32"/>
          <w:highlight w:val="none"/>
          <w:u w:val="none"/>
          <w:lang w:eastAsia="zh-CN"/>
        </w:rPr>
        <w:t>标准化</w:t>
      </w:r>
      <w:r>
        <w:rPr>
          <w:rFonts w:hint="default" w:ascii="Times New Roman" w:hAnsi="Times New Roman" w:eastAsia="仿宋_GB2312" w:cs="Times New Roman"/>
          <w:bCs/>
          <w:color w:val="auto"/>
          <w:sz w:val="32"/>
          <w:szCs w:val="32"/>
          <w:highlight w:val="none"/>
          <w:u w:val="none"/>
        </w:rPr>
        <w:t>建设。</w:t>
      </w:r>
      <w:r>
        <w:rPr>
          <w:rFonts w:hint="default" w:ascii="Times New Roman" w:hAnsi="Times New Roman" w:eastAsia="仿宋_GB2312" w:cs="Times New Roman"/>
          <w:color w:val="auto"/>
          <w:sz w:val="32"/>
          <w:szCs w:val="32"/>
          <w:highlight w:val="none"/>
          <w:u w:val="none"/>
        </w:rPr>
        <w:t>以标准为基础和引领，逐步推进医保经办服务</w:t>
      </w:r>
      <w:r>
        <w:rPr>
          <w:rFonts w:hint="default" w:ascii="Times New Roman" w:hAnsi="Times New Roman" w:eastAsia="仿宋_GB2312" w:cs="Times New Roman"/>
          <w:color w:val="auto"/>
          <w:sz w:val="32"/>
          <w:szCs w:val="32"/>
          <w:highlight w:val="none"/>
          <w:u w:val="none"/>
          <w:lang w:eastAsia="zh-CN"/>
        </w:rPr>
        <w:t>标准化</w:t>
      </w:r>
      <w:r>
        <w:rPr>
          <w:rFonts w:hint="default" w:ascii="Times New Roman" w:hAnsi="Times New Roman" w:eastAsia="仿宋_GB2312" w:cs="Times New Roman"/>
          <w:color w:val="auto"/>
          <w:sz w:val="32"/>
          <w:szCs w:val="32"/>
          <w:highlight w:val="none"/>
          <w:u w:val="none"/>
        </w:rPr>
        <w:t>和信息化建设，提高医疗保障经办服务质量和效率。</w:t>
      </w:r>
    </w:p>
    <w:p>
      <w:pPr>
        <w:pStyle w:val="2"/>
        <w:adjustRightInd w:val="0"/>
        <w:snapToGrid w:val="0"/>
        <w:spacing w:after="0" w:afterLines="0" w:line="600" w:lineRule="exact"/>
        <w:ind w:firstLine="64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立足新时代医保经办的特征、规律和要求，加快建立和完善医疗保障经办服务的标准体系。</w:t>
      </w:r>
      <w:r>
        <w:rPr>
          <w:rFonts w:hint="default" w:ascii="Times New Roman" w:hAnsi="Times New Roman" w:eastAsia="仿宋_GB2312" w:cs="Times New Roman"/>
          <w:b/>
          <w:color w:val="auto"/>
          <w:sz w:val="32"/>
          <w:szCs w:val="32"/>
          <w:highlight w:val="none"/>
          <w:u w:val="none"/>
          <w:lang w:eastAsia="zh-CN"/>
        </w:rPr>
        <w:t>一是</w:t>
      </w:r>
      <w:r>
        <w:rPr>
          <w:rFonts w:hint="default" w:ascii="Times New Roman" w:hAnsi="Times New Roman" w:eastAsia="仿宋_GB2312" w:cs="Times New Roman"/>
          <w:color w:val="auto"/>
          <w:sz w:val="32"/>
          <w:szCs w:val="32"/>
          <w:highlight w:val="none"/>
          <w:u w:val="none"/>
        </w:rPr>
        <w:t>完善基础标准。包括统一业务术语；统一经办服务场所设备设施和标志标识；统一主要业务规程；统一基金预算、业务档案等基础工作。</w:t>
      </w:r>
      <w:r>
        <w:rPr>
          <w:rFonts w:hint="default" w:ascii="Times New Roman" w:hAnsi="Times New Roman" w:eastAsia="仿宋_GB2312" w:cs="Times New Roman"/>
          <w:b/>
          <w:color w:val="auto"/>
          <w:sz w:val="32"/>
          <w:szCs w:val="32"/>
          <w:highlight w:val="none"/>
          <w:u w:val="none"/>
          <w:lang w:eastAsia="zh-CN"/>
        </w:rPr>
        <w:t>二是</w:t>
      </w:r>
      <w:r>
        <w:rPr>
          <w:rFonts w:hint="default" w:ascii="Times New Roman" w:hAnsi="Times New Roman" w:eastAsia="仿宋_GB2312" w:cs="Times New Roman"/>
          <w:color w:val="auto"/>
          <w:sz w:val="32"/>
          <w:szCs w:val="32"/>
          <w:highlight w:val="none"/>
          <w:u w:val="none"/>
        </w:rPr>
        <w:t>完善技术标准。</w:t>
      </w:r>
      <w:r>
        <w:rPr>
          <w:rFonts w:hint="default" w:ascii="Times New Roman" w:hAnsi="Times New Roman" w:eastAsia="仿宋_GB2312" w:cs="Times New Roman"/>
          <w:color w:val="auto"/>
          <w:sz w:val="32"/>
          <w:szCs w:val="32"/>
          <w:highlight w:val="none"/>
          <w:u w:val="none"/>
          <w:lang w:eastAsia="zh-CN"/>
        </w:rPr>
        <w:t>使用国家</w:t>
      </w:r>
      <w:r>
        <w:rPr>
          <w:rFonts w:hint="default" w:ascii="Times New Roman" w:hAnsi="Times New Roman" w:eastAsia="仿宋_GB2312" w:cs="Times New Roman"/>
          <w:color w:val="auto"/>
          <w:sz w:val="32"/>
          <w:szCs w:val="32"/>
          <w:highlight w:val="none"/>
          <w:u w:val="none"/>
        </w:rPr>
        <w:t>统一编制的药品、医疗服务项目、耗材等业务编码标注，以及网络、安全、数据交换、运行维护等技术标准，为推进医保信息互联互通、数据共建共享打下坚实基础。</w:t>
      </w:r>
      <w:r>
        <w:rPr>
          <w:rFonts w:hint="default" w:ascii="Times New Roman" w:hAnsi="Times New Roman" w:eastAsia="仿宋_GB2312" w:cs="Times New Roman"/>
          <w:b/>
          <w:color w:val="auto"/>
          <w:sz w:val="32"/>
          <w:szCs w:val="32"/>
          <w:highlight w:val="none"/>
          <w:u w:val="none"/>
          <w:lang w:eastAsia="zh-CN"/>
        </w:rPr>
        <w:t>三是</w:t>
      </w:r>
      <w:r>
        <w:rPr>
          <w:rFonts w:hint="default" w:ascii="Times New Roman" w:hAnsi="Times New Roman" w:eastAsia="仿宋_GB2312" w:cs="Times New Roman"/>
          <w:color w:val="auto"/>
          <w:sz w:val="32"/>
          <w:szCs w:val="32"/>
          <w:highlight w:val="none"/>
          <w:u w:val="none"/>
        </w:rPr>
        <w:t>完善服务标准。制定医疗保障服务总则、经办绩效评价规范、信息披露要求、窗口单位服务规范、纪律要求和文明用语等，形成依据合理、指标完善、方法科学的服务质量评价体系。</w:t>
      </w:r>
    </w:p>
    <w:p>
      <w:pPr>
        <w:pStyle w:val="2"/>
        <w:spacing w:after="0" w:afterLines="0" w:line="600" w:lineRule="exact"/>
        <w:ind w:firstLine="0" w:firstLineChars="0"/>
        <w:rPr>
          <w:rFonts w:hint="default"/>
        </w:rPr>
      </w:pPr>
    </w:p>
    <w:tbl>
      <w:tblPr>
        <w:tblStyle w:val="13"/>
        <w:tblpPr w:leftFromText="180" w:rightFromText="180" w:vertAnchor="text" w:horzAnchor="page" w:tblpX="1725" w:tblpY="34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00" w:type="dxa"/>
            <w:tcBorders>
              <w:top w:val="single" w:color="auto" w:sz="4" w:space="0"/>
              <w:left w:val="single" w:color="auto" w:sz="4" w:space="0"/>
              <w:bottom w:val="single" w:color="auto" w:sz="4" w:space="0"/>
              <w:right w:val="single" w:color="auto" w:sz="4" w:space="0"/>
            </w:tcBorders>
            <w:noWrap w:val="0"/>
            <w:vAlign w:val="center"/>
          </w:tcPr>
          <w:p>
            <w:pPr>
              <w:pStyle w:val="3"/>
              <w:spacing w:line="600" w:lineRule="exact"/>
              <w:jc w:val="center"/>
              <w:outlineLvl w:val="1"/>
              <w:rPr>
                <w:rFonts w:hint="default" w:ascii="Times New Roman" w:hAnsi="Times New Roman" w:cs="Times New Roman"/>
                <w:b w:val="0"/>
                <w:bCs/>
                <w:color w:val="auto"/>
                <w:szCs w:val="32"/>
                <w:highlight w:val="none"/>
                <w:u w:val="none"/>
              </w:rPr>
            </w:pPr>
            <w:r>
              <w:rPr>
                <w:rFonts w:hint="eastAsia" w:ascii="仿宋_GB2312" w:hAnsi="仿宋_GB2312" w:eastAsia="仿宋_GB2312" w:cs="仿宋_GB2312"/>
                <w:bCs/>
                <w:color w:val="auto"/>
                <w:sz w:val="32"/>
                <w:szCs w:val="32"/>
                <w:highlight w:val="none"/>
                <w:u w:val="none"/>
              </w:rPr>
              <w:t>专栏7  医保公共服</w:t>
            </w:r>
            <w:r>
              <w:rPr>
                <w:rFonts w:hint="default" w:ascii="Times New Roman" w:hAnsi="Times New Roman" w:eastAsia="仿宋_GB2312" w:cs="Times New Roman"/>
                <w:bCs/>
                <w:color w:val="auto"/>
                <w:sz w:val="32"/>
                <w:szCs w:val="32"/>
                <w:highlight w:val="none"/>
                <w:u w:val="none"/>
              </w:rPr>
              <w:t>务重点项目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8900"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snapToGrid/>
              <w:spacing w:line="600" w:lineRule="exact"/>
              <w:ind w:firstLine="480" w:firstLineChars="200"/>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1.健全医保政务服务事项清单。根据《广东省医疗保障局关于印发全省医疗保障经办政务服务事项清单的通知》（</w:t>
            </w:r>
            <w:r>
              <w:rPr>
                <w:rFonts w:hint="eastAsia" w:ascii="仿宋_GB2312" w:hAnsi="仿宋_GB2312" w:eastAsia="仿宋_GB2312" w:cs="仿宋_GB2312"/>
                <w:color w:val="auto"/>
                <w:sz w:val="24"/>
                <w:szCs w:val="24"/>
                <w:highlight w:val="none"/>
                <w:u w:val="none"/>
                <w:shd w:val="clear" w:color="auto" w:fill="auto"/>
                <w:lang w:val="en-US" w:eastAsia="zh-CN"/>
              </w:rPr>
              <w:t>粤</w:t>
            </w:r>
            <w:r>
              <w:rPr>
                <w:rFonts w:hint="eastAsia" w:ascii="仿宋_GB2312" w:hAnsi="仿宋_GB2312" w:eastAsia="仿宋_GB2312" w:cs="仿宋_GB2312"/>
                <w:color w:val="auto"/>
                <w:sz w:val="24"/>
                <w:szCs w:val="24"/>
                <w:highlight w:val="none"/>
                <w:u w:val="none"/>
                <w:lang w:val="en-US" w:eastAsia="zh-CN"/>
              </w:rPr>
              <w:t>医保</w:t>
            </w:r>
            <w:r>
              <w:rPr>
                <w:rFonts w:hint="eastAsia" w:ascii="仿宋_GB2312" w:hAnsi="仿宋_GB2312" w:eastAsia="仿宋_GB2312" w:cs="仿宋_GB2312"/>
                <w:color w:val="auto"/>
                <w:sz w:val="24"/>
                <w:szCs w:val="24"/>
                <w:highlight w:val="none"/>
                <w:u w:val="none"/>
                <w:shd w:val="clear" w:color="auto" w:fill="auto"/>
                <w:lang w:val="en-US" w:eastAsia="zh-CN"/>
              </w:rPr>
              <w:t>规</w:t>
            </w:r>
            <w:r>
              <w:rPr>
                <w:rFonts w:hint="eastAsia" w:ascii="仿宋_GB2312" w:hAnsi="仿宋_GB2312" w:eastAsia="仿宋_GB2312" w:cs="仿宋_GB2312"/>
                <w:color w:val="auto"/>
                <w:sz w:val="24"/>
                <w:szCs w:val="24"/>
                <w:highlight w:val="none"/>
                <w:u w:val="none"/>
                <w:lang w:val="en-US" w:eastAsia="zh-CN"/>
              </w:rPr>
              <w:t>〔2020〕3号）的精神梳理“六统一”</w:t>
            </w:r>
            <w:r>
              <w:rPr>
                <w:rFonts w:hint="eastAsia" w:ascii="仿宋_GB2312" w:hAnsi="仿宋_GB2312" w:eastAsia="仿宋_GB2312" w:cs="仿宋_GB2312"/>
                <w:color w:val="auto"/>
                <w:sz w:val="32"/>
                <w:szCs w:val="32"/>
                <w:highlight w:val="none"/>
                <w:u w:val="none"/>
                <w:vertAlign w:val="superscript"/>
                <w:lang w:val="en-US" w:eastAsia="zh-CN"/>
              </w:rPr>
              <w:t>①</w:t>
            </w:r>
            <w:r>
              <w:rPr>
                <w:rFonts w:hint="eastAsia" w:ascii="仿宋_GB2312" w:hAnsi="仿宋_GB2312" w:eastAsia="仿宋_GB2312" w:cs="仿宋_GB2312"/>
                <w:color w:val="auto"/>
                <w:sz w:val="24"/>
                <w:szCs w:val="24"/>
                <w:highlight w:val="none"/>
                <w:u w:val="none"/>
                <w:lang w:val="en-US" w:eastAsia="zh-CN"/>
              </w:rPr>
              <w:t>和“四</w:t>
            </w:r>
            <w:r>
              <w:rPr>
                <w:rFonts w:hint="eastAsia" w:ascii="仿宋_GB2312" w:hAnsi="仿宋_GB2312" w:eastAsia="仿宋_GB2312" w:cs="仿宋_GB2312"/>
                <w:color w:val="auto"/>
                <w:sz w:val="24"/>
                <w:szCs w:val="24"/>
                <w:highlight w:val="none"/>
                <w:u w:val="none"/>
                <w:shd w:val="clear" w:color="auto" w:fill="auto"/>
                <w:lang w:val="en-US" w:eastAsia="zh-CN"/>
              </w:rPr>
              <w:t>最</w:t>
            </w:r>
            <w:r>
              <w:rPr>
                <w:rFonts w:hint="eastAsia" w:ascii="仿宋_GB2312" w:hAnsi="仿宋_GB2312" w:eastAsia="仿宋_GB2312" w:cs="仿宋_GB2312"/>
                <w:color w:val="auto"/>
                <w:sz w:val="24"/>
                <w:szCs w:val="24"/>
                <w:highlight w:val="none"/>
                <w:u w:val="none"/>
                <w:lang w:val="en-US" w:eastAsia="zh-CN"/>
              </w:rPr>
              <w:t>”</w:t>
            </w:r>
            <w:r>
              <w:rPr>
                <w:rFonts w:hint="eastAsia" w:ascii="仿宋_GB2312" w:hAnsi="仿宋_GB2312" w:eastAsia="仿宋_GB2312" w:cs="仿宋_GB2312"/>
                <w:color w:val="auto"/>
                <w:sz w:val="32"/>
                <w:szCs w:val="32"/>
                <w:highlight w:val="none"/>
                <w:u w:val="none"/>
                <w:vertAlign w:val="superscript"/>
                <w:lang w:val="en-US" w:eastAsia="zh-CN"/>
              </w:rPr>
              <w:t>②</w:t>
            </w:r>
            <w:r>
              <w:rPr>
                <w:rFonts w:hint="eastAsia" w:ascii="仿宋_GB2312" w:hAnsi="仿宋_GB2312" w:eastAsia="仿宋_GB2312" w:cs="仿宋_GB2312"/>
                <w:color w:val="auto"/>
                <w:sz w:val="24"/>
                <w:szCs w:val="24"/>
                <w:highlight w:val="none"/>
                <w:u w:val="none"/>
                <w:lang w:val="en-US" w:eastAsia="zh-CN"/>
              </w:rPr>
              <w:t>的要求，不断健全</w:t>
            </w:r>
            <w:r>
              <w:rPr>
                <w:rFonts w:hint="eastAsia" w:hAnsi="仿宋_GB2312" w:cs="仿宋_GB2312"/>
                <w:color w:val="auto"/>
                <w:sz w:val="24"/>
                <w:szCs w:val="24"/>
                <w:highlight w:val="none"/>
                <w:u w:val="none"/>
                <w:lang w:val="en-US" w:eastAsia="zh-CN"/>
              </w:rPr>
              <w:t>茂名市</w:t>
            </w:r>
            <w:r>
              <w:rPr>
                <w:rFonts w:hint="eastAsia" w:ascii="仿宋_GB2312" w:hAnsi="仿宋_GB2312" w:eastAsia="仿宋_GB2312" w:cs="仿宋_GB2312"/>
                <w:color w:val="auto"/>
                <w:sz w:val="24"/>
                <w:szCs w:val="24"/>
                <w:highlight w:val="none"/>
                <w:u w:val="none"/>
                <w:lang w:val="en-US" w:eastAsia="zh-CN"/>
              </w:rPr>
              <w:t>医保政务服务事项清单，规范经办流程，统一服务标准。</w:t>
            </w:r>
            <w:r>
              <w:rPr>
                <w:rFonts w:hint="eastAsia" w:ascii="仿宋_GB2312" w:hAnsi="仿宋_GB2312" w:eastAsia="仿宋_GB2312" w:cs="仿宋_GB2312"/>
                <w:color w:val="auto"/>
                <w:sz w:val="24"/>
                <w:szCs w:val="24"/>
                <w:highlight w:val="none"/>
                <w:u w:val="none"/>
                <w:lang w:val="en-US" w:eastAsia="zh-CN"/>
              </w:rPr>
              <w:br w:type="textWrapping"/>
            </w:r>
            <w:r>
              <w:rPr>
                <w:rFonts w:hint="eastAsia" w:ascii="仿宋_GB2312" w:hAnsi="仿宋_GB2312" w:eastAsia="仿宋_GB2312" w:cs="仿宋_GB2312"/>
                <w:color w:val="auto"/>
                <w:sz w:val="24"/>
                <w:szCs w:val="24"/>
                <w:highlight w:val="none"/>
                <w:u w:val="none"/>
                <w:lang w:val="en-US" w:eastAsia="zh-CN"/>
              </w:rPr>
              <w:t xml:space="preserve">    2.争创医疗保障服务示范</w:t>
            </w:r>
            <w:r>
              <w:rPr>
                <w:rFonts w:hint="eastAsia" w:ascii="仿宋_GB2312" w:hAnsi="仿宋_GB2312" w:cs="仿宋_GB2312"/>
                <w:color w:val="auto"/>
                <w:sz w:val="24"/>
                <w:szCs w:val="24"/>
                <w:highlight w:val="none"/>
                <w:u w:val="none"/>
                <w:lang w:val="en-US" w:eastAsia="zh-CN"/>
              </w:rPr>
              <w:t>点</w:t>
            </w:r>
            <w:r>
              <w:rPr>
                <w:rFonts w:hint="eastAsia" w:ascii="仿宋_GB2312" w:hAnsi="仿宋_GB2312" w:eastAsia="仿宋_GB2312" w:cs="仿宋_GB2312"/>
                <w:color w:val="auto"/>
                <w:sz w:val="24"/>
                <w:szCs w:val="24"/>
                <w:highlight w:val="none"/>
                <w:u w:val="none"/>
                <w:lang w:val="en-US" w:eastAsia="zh-CN"/>
              </w:rPr>
              <w:t>。按照《广东省医疗保障局转发国家医疗保障局办公室关于印发医疗保障经办大厅设置与服务规范（试行）的通知》的精神，推进</w:t>
            </w:r>
            <w:r>
              <w:rPr>
                <w:rFonts w:hint="eastAsia" w:ascii="仿宋_GB2312" w:hAnsi="仿宋_GB2312" w:cs="仿宋_GB2312"/>
                <w:color w:val="auto"/>
                <w:sz w:val="24"/>
                <w:szCs w:val="24"/>
                <w:highlight w:val="none"/>
                <w:u w:val="none"/>
                <w:lang w:val="en-US" w:eastAsia="zh-CN"/>
              </w:rPr>
              <w:t>“十四五”</w:t>
            </w:r>
            <w:r>
              <w:rPr>
                <w:rFonts w:hint="eastAsia" w:ascii="仿宋_GB2312" w:hAnsi="仿宋_GB2312" w:eastAsia="仿宋_GB2312" w:cs="仿宋_GB2312"/>
                <w:color w:val="auto"/>
                <w:sz w:val="24"/>
                <w:szCs w:val="24"/>
                <w:highlight w:val="none"/>
                <w:u w:val="none"/>
                <w:lang w:val="en-US" w:eastAsia="zh-CN"/>
              </w:rPr>
              <w:t>医疗保障服务示范工程建设，争先创优，创建医疗保障服务示范点。</w:t>
            </w:r>
            <w:r>
              <w:rPr>
                <w:rFonts w:hint="eastAsia" w:ascii="仿宋_GB2312" w:hAnsi="仿宋_GB2312" w:eastAsia="仿宋_GB2312" w:cs="仿宋_GB2312"/>
                <w:color w:val="auto"/>
                <w:sz w:val="24"/>
                <w:szCs w:val="24"/>
                <w:highlight w:val="none"/>
                <w:u w:val="none"/>
                <w:lang w:val="en-US" w:eastAsia="zh-CN"/>
              </w:rPr>
              <w:br w:type="textWrapping"/>
            </w:r>
            <w:r>
              <w:rPr>
                <w:rFonts w:hint="eastAsia" w:ascii="仿宋_GB2312" w:hAnsi="仿宋_GB2312" w:eastAsia="仿宋_GB2312" w:cs="仿宋_GB2312"/>
                <w:color w:val="auto"/>
                <w:sz w:val="24"/>
                <w:szCs w:val="24"/>
                <w:highlight w:val="none"/>
                <w:u w:val="none"/>
                <w:lang w:val="en-US" w:eastAsia="zh-CN"/>
              </w:rPr>
              <w:t xml:space="preserve">    3.建设医疗保障服务提升工程。加强行风建设，不断提升行风建设满意度，筑</w:t>
            </w:r>
            <w:r>
              <w:rPr>
                <w:rFonts w:hint="eastAsia" w:ascii="仿宋_GB2312" w:hAnsi="仿宋_GB2312" w:eastAsia="仿宋_GB2312" w:cs="仿宋_GB2312"/>
                <w:color w:val="auto"/>
                <w:sz w:val="24"/>
                <w:szCs w:val="24"/>
                <w:highlight w:val="none"/>
                <w:u w:val="none"/>
                <w:shd w:val="clear" w:color="auto" w:fill="auto"/>
                <w:lang w:val="en-US" w:eastAsia="zh-CN"/>
              </w:rPr>
              <w:t>牢</w:t>
            </w:r>
            <w:r>
              <w:rPr>
                <w:rFonts w:hint="eastAsia" w:ascii="仿宋_GB2312" w:hAnsi="仿宋_GB2312" w:eastAsia="仿宋_GB2312" w:cs="仿宋_GB2312"/>
                <w:color w:val="auto"/>
                <w:sz w:val="24"/>
                <w:szCs w:val="24"/>
                <w:highlight w:val="none"/>
                <w:u w:val="none"/>
                <w:lang w:val="en-US" w:eastAsia="zh-CN"/>
              </w:rPr>
              <w:t>行风建设“主阵地”。</w:t>
            </w:r>
            <w:r>
              <w:rPr>
                <w:rFonts w:hint="eastAsia" w:ascii="仿宋_GB2312" w:hAnsi="仿宋_GB2312" w:cs="仿宋_GB2312"/>
                <w:b/>
                <w:bCs/>
                <w:color w:val="auto"/>
                <w:sz w:val="24"/>
                <w:szCs w:val="24"/>
                <w:highlight w:val="none"/>
                <w:u w:val="none"/>
                <w:lang w:val="en-US" w:eastAsia="zh-CN"/>
              </w:rPr>
              <w:t>一是</w:t>
            </w:r>
            <w:r>
              <w:rPr>
                <w:rFonts w:hint="eastAsia" w:ascii="仿宋_GB2312" w:hAnsi="仿宋_GB2312" w:eastAsia="仿宋_GB2312" w:cs="仿宋_GB2312"/>
                <w:color w:val="auto"/>
                <w:sz w:val="24"/>
                <w:szCs w:val="24"/>
                <w:highlight w:val="none"/>
                <w:u w:val="none"/>
                <w:lang w:val="en-US" w:eastAsia="zh-CN"/>
              </w:rPr>
              <w:t>以优化窗口服务为切入点和着力点，</w:t>
            </w:r>
            <w:r>
              <w:rPr>
                <w:rFonts w:hint="eastAsia" w:ascii="仿宋_GB2312" w:hAnsi="仿宋_GB2312" w:eastAsia="仿宋_GB2312" w:cs="仿宋_GB2312"/>
                <w:color w:val="auto"/>
                <w:sz w:val="24"/>
                <w:szCs w:val="24"/>
                <w:highlight w:val="none"/>
                <w:u w:val="none"/>
                <w:shd w:val="clear" w:color="auto" w:fill="auto"/>
                <w:lang w:val="en-US" w:eastAsia="zh-CN"/>
              </w:rPr>
              <w:t>树牢</w:t>
            </w:r>
            <w:r>
              <w:rPr>
                <w:rFonts w:hint="eastAsia" w:ascii="仿宋_GB2312" w:hAnsi="仿宋_GB2312" w:eastAsia="仿宋_GB2312" w:cs="仿宋_GB2312"/>
                <w:color w:val="auto"/>
                <w:sz w:val="24"/>
                <w:szCs w:val="24"/>
                <w:highlight w:val="none"/>
                <w:u w:val="none"/>
                <w:lang w:val="en-US" w:eastAsia="zh-CN"/>
              </w:rPr>
              <w:t>“抓行风就是抓服务，抓服务就是抓窗口”的工作理念。坚持传统服务方式与智能化服务创新并行，完善</w:t>
            </w:r>
            <w:r>
              <w:rPr>
                <w:rFonts w:hint="eastAsia" w:ascii="仿宋_GB2312" w:hAnsi="仿宋_GB2312" w:eastAsia="仿宋_GB2312" w:cs="仿宋_GB2312"/>
                <w:color w:val="auto"/>
                <w:sz w:val="24"/>
                <w:szCs w:val="24"/>
                <w:highlight w:val="none"/>
                <w:u w:val="none"/>
                <w:shd w:val="clear" w:color="auto" w:fill="auto"/>
                <w:lang w:val="en-US" w:eastAsia="zh-CN"/>
              </w:rPr>
              <w:t>适</w:t>
            </w:r>
            <w:r>
              <w:rPr>
                <w:rFonts w:hint="eastAsia" w:ascii="仿宋_GB2312" w:hAnsi="仿宋_GB2312" w:eastAsia="仿宋_GB2312" w:cs="仿宋_GB2312"/>
                <w:color w:val="auto"/>
                <w:sz w:val="24"/>
                <w:szCs w:val="24"/>
                <w:highlight w:val="none"/>
                <w:u w:val="none"/>
                <w:lang w:val="en-US" w:eastAsia="zh-CN"/>
              </w:rPr>
              <w:t>老化政策，扩宽医保政务服务渠道，加快推进“跨省通</w:t>
            </w:r>
            <w:r>
              <w:rPr>
                <w:rFonts w:hint="eastAsia" w:ascii="仿宋_GB2312" w:hAnsi="仿宋_GB2312" w:eastAsia="仿宋_GB2312" w:cs="仿宋_GB2312"/>
                <w:color w:val="auto"/>
                <w:sz w:val="24"/>
                <w:szCs w:val="24"/>
                <w:highlight w:val="none"/>
                <w:u w:val="none"/>
                <w:shd w:val="clear" w:color="auto" w:fill="auto"/>
                <w:lang w:val="en-US" w:eastAsia="zh-CN"/>
              </w:rPr>
              <w:t>办</w:t>
            </w:r>
            <w:r>
              <w:rPr>
                <w:rFonts w:hint="eastAsia" w:ascii="仿宋_GB2312" w:hAnsi="仿宋_GB2312" w:eastAsia="仿宋_GB2312" w:cs="仿宋_GB2312"/>
                <w:color w:val="auto"/>
                <w:sz w:val="24"/>
                <w:szCs w:val="24"/>
                <w:highlight w:val="none"/>
                <w:u w:val="none"/>
                <w:lang w:val="en-US" w:eastAsia="zh-CN"/>
              </w:rPr>
              <w:t>”“市内通</w:t>
            </w:r>
            <w:r>
              <w:rPr>
                <w:rFonts w:hint="eastAsia" w:ascii="仿宋_GB2312" w:hAnsi="仿宋_GB2312" w:eastAsia="仿宋_GB2312" w:cs="仿宋_GB2312"/>
                <w:color w:val="auto"/>
                <w:sz w:val="24"/>
                <w:szCs w:val="24"/>
                <w:highlight w:val="none"/>
                <w:u w:val="none"/>
                <w:shd w:val="clear" w:color="auto" w:fill="auto"/>
                <w:lang w:val="en-US" w:eastAsia="zh-CN"/>
              </w:rPr>
              <w:t>办</w:t>
            </w:r>
            <w:r>
              <w:rPr>
                <w:rFonts w:hint="eastAsia" w:ascii="仿宋_GB2312" w:hAnsi="仿宋_GB2312" w:eastAsia="仿宋_GB2312" w:cs="仿宋_GB2312"/>
                <w:color w:val="auto"/>
                <w:sz w:val="24"/>
                <w:szCs w:val="24"/>
                <w:highlight w:val="none"/>
                <w:u w:val="none"/>
                <w:lang w:val="en-US" w:eastAsia="zh-CN"/>
              </w:rPr>
              <w:t>”等工作，通过线上线下相结合的方式，进一步畅通医保经办服务渠道，最大限度便民利民，实现群众最多跑一次的目标，打造群众满意的医保经办政务服务。</w:t>
            </w:r>
            <w:r>
              <w:rPr>
                <w:rFonts w:hint="eastAsia" w:ascii="仿宋_GB2312" w:hAnsi="仿宋_GB2312" w:cs="仿宋_GB2312"/>
                <w:b/>
                <w:bCs/>
                <w:color w:val="auto"/>
                <w:sz w:val="24"/>
                <w:szCs w:val="24"/>
                <w:highlight w:val="none"/>
                <w:u w:val="none"/>
                <w:lang w:val="en-US" w:eastAsia="zh-CN"/>
              </w:rPr>
              <w:t>二是</w:t>
            </w:r>
            <w:r>
              <w:rPr>
                <w:rFonts w:hint="eastAsia" w:ascii="仿宋_GB2312" w:hAnsi="仿宋_GB2312" w:eastAsia="仿宋_GB2312" w:cs="仿宋_GB2312"/>
                <w:color w:val="auto"/>
                <w:sz w:val="24"/>
                <w:szCs w:val="24"/>
                <w:highlight w:val="none"/>
                <w:u w:val="none"/>
                <w:lang w:val="en-US" w:eastAsia="zh-CN"/>
              </w:rPr>
              <w:t>主动落实好差</w:t>
            </w:r>
            <w:r>
              <w:rPr>
                <w:rFonts w:hint="eastAsia" w:ascii="仿宋_GB2312" w:hAnsi="仿宋_GB2312" w:eastAsia="仿宋_GB2312" w:cs="仿宋_GB2312"/>
                <w:color w:val="auto"/>
                <w:sz w:val="24"/>
                <w:szCs w:val="24"/>
                <w:highlight w:val="none"/>
                <w:u w:val="none"/>
                <w:shd w:val="clear" w:color="auto" w:fill="auto"/>
                <w:lang w:val="en-US" w:eastAsia="zh-CN"/>
              </w:rPr>
              <w:t>评</w:t>
            </w:r>
            <w:r>
              <w:rPr>
                <w:rFonts w:hint="eastAsia" w:ascii="仿宋_GB2312" w:hAnsi="仿宋_GB2312" w:eastAsia="仿宋_GB2312" w:cs="仿宋_GB2312"/>
                <w:color w:val="auto"/>
                <w:sz w:val="24"/>
                <w:szCs w:val="24"/>
                <w:highlight w:val="none"/>
                <w:u w:val="none"/>
                <w:lang w:val="en-US" w:eastAsia="zh-CN"/>
              </w:rPr>
              <w:t>制度。通过推动“线下</w:t>
            </w:r>
            <w:r>
              <w:rPr>
                <w:rFonts w:hint="eastAsia" w:ascii="仿宋_GB2312" w:hAnsi="仿宋_GB2312" w:eastAsia="仿宋_GB2312" w:cs="仿宋_GB2312"/>
                <w:color w:val="auto"/>
                <w:sz w:val="24"/>
                <w:szCs w:val="24"/>
                <w:highlight w:val="none"/>
                <w:u w:val="none"/>
                <w:shd w:val="clear" w:color="auto" w:fill="auto"/>
                <w:lang w:val="en-US" w:eastAsia="zh-CN"/>
              </w:rPr>
              <w:t>评</w:t>
            </w:r>
            <w:r>
              <w:rPr>
                <w:rFonts w:hint="eastAsia" w:ascii="仿宋_GB2312" w:hAnsi="仿宋_GB2312" w:eastAsia="仿宋_GB2312" w:cs="仿宋_GB2312"/>
                <w:color w:val="auto"/>
                <w:sz w:val="24"/>
                <w:szCs w:val="24"/>
                <w:highlight w:val="none"/>
                <w:u w:val="none"/>
                <w:lang w:val="en-US" w:eastAsia="zh-CN"/>
              </w:rPr>
              <w:t>”和抓好“网上</w:t>
            </w:r>
            <w:r>
              <w:rPr>
                <w:rFonts w:hint="eastAsia" w:ascii="仿宋_GB2312" w:hAnsi="仿宋_GB2312" w:eastAsia="仿宋_GB2312" w:cs="仿宋_GB2312"/>
                <w:color w:val="auto"/>
                <w:sz w:val="24"/>
                <w:szCs w:val="24"/>
                <w:highlight w:val="none"/>
                <w:u w:val="none"/>
                <w:shd w:val="clear" w:color="auto" w:fill="auto"/>
                <w:lang w:val="en-US" w:eastAsia="zh-CN"/>
              </w:rPr>
              <w:t>评</w:t>
            </w:r>
            <w:r>
              <w:rPr>
                <w:rFonts w:hint="eastAsia" w:ascii="仿宋_GB2312" w:hAnsi="仿宋_GB2312" w:eastAsia="仿宋_GB2312" w:cs="仿宋_GB2312"/>
                <w:color w:val="auto"/>
                <w:sz w:val="24"/>
                <w:szCs w:val="24"/>
                <w:highlight w:val="none"/>
                <w:u w:val="none"/>
                <w:lang w:val="en-US" w:eastAsia="zh-CN"/>
              </w:rPr>
              <w:t>”的方式，确保服务事项评价全覆盖，评价对象全覆盖，服务渠道全覆盖。</w:t>
            </w:r>
          </w:p>
          <w:p>
            <w:pPr>
              <w:widowControl w:val="0"/>
              <w:wordWrap/>
              <w:adjustRightInd/>
              <w:snapToGrid/>
              <w:spacing w:line="600" w:lineRule="exact"/>
              <w:ind w:firstLine="480" w:firstLineChars="200"/>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4.打造智慧医保。（1）信息查询更便捷。以“</w:t>
            </w:r>
            <w:r>
              <w:rPr>
                <w:rFonts w:hint="eastAsia" w:ascii="仿宋_GB2312" w:hAnsi="仿宋_GB2312" w:eastAsia="仿宋_GB2312" w:cs="仿宋_GB2312"/>
                <w:color w:val="auto"/>
                <w:sz w:val="24"/>
                <w:szCs w:val="24"/>
                <w:highlight w:val="none"/>
                <w:u w:val="none"/>
                <w:shd w:val="clear" w:color="auto" w:fill="auto"/>
                <w:lang w:val="en-US" w:eastAsia="zh-CN"/>
              </w:rPr>
              <w:t>粤</w:t>
            </w:r>
            <w:r>
              <w:rPr>
                <w:rFonts w:hint="eastAsia" w:ascii="仿宋_GB2312" w:hAnsi="仿宋_GB2312" w:eastAsia="仿宋_GB2312" w:cs="仿宋_GB2312"/>
                <w:color w:val="auto"/>
                <w:sz w:val="24"/>
                <w:szCs w:val="24"/>
                <w:highlight w:val="none"/>
                <w:u w:val="none"/>
                <w:lang w:val="en-US" w:eastAsia="zh-CN"/>
              </w:rPr>
              <w:t>医保”“</w:t>
            </w:r>
            <w:r>
              <w:rPr>
                <w:rFonts w:hint="eastAsia" w:ascii="仿宋_GB2312" w:hAnsi="仿宋_GB2312" w:eastAsia="仿宋_GB2312" w:cs="仿宋_GB2312"/>
                <w:color w:val="auto"/>
                <w:sz w:val="24"/>
                <w:szCs w:val="24"/>
                <w:highlight w:val="none"/>
                <w:u w:val="none"/>
                <w:shd w:val="clear" w:color="auto" w:fill="auto"/>
                <w:lang w:val="en-US" w:eastAsia="zh-CN"/>
              </w:rPr>
              <w:t>粤</w:t>
            </w:r>
            <w:r>
              <w:rPr>
                <w:rFonts w:hint="eastAsia" w:ascii="仿宋_GB2312" w:hAnsi="仿宋_GB2312" w:eastAsia="仿宋_GB2312" w:cs="仿宋_GB2312"/>
                <w:color w:val="auto"/>
                <w:sz w:val="24"/>
                <w:szCs w:val="24"/>
                <w:highlight w:val="none"/>
                <w:u w:val="none"/>
                <w:lang w:val="en-US" w:eastAsia="zh-CN"/>
              </w:rPr>
              <w:t>省事”“</w:t>
            </w:r>
            <w:r>
              <w:rPr>
                <w:rFonts w:hint="eastAsia" w:ascii="仿宋_GB2312" w:hAnsi="仿宋_GB2312" w:eastAsia="仿宋_GB2312" w:cs="仿宋_GB2312"/>
                <w:color w:val="auto"/>
                <w:sz w:val="24"/>
                <w:szCs w:val="24"/>
                <w:highlight w:val="none"/>
                <w:u w:val="none"/>
                <w:shd w:val="clear" w:color="auto" w:fill="auto"/>
                <w:lang w:val="en-US" w:eastAsia="zh-CN"/>
              </w:rPr>
              <w:t>粤智助</w:t>
            </w:r>
            <w:r>
              <w:rPr>
                <w:rFonts w:hint="eastAsia" w:ascii="仿宋_GB2312" w:hAnsi="仿宋_GB2312" w:eastAsia="仿宋_GB2312" w:cs="仿宋_GB2312"/>
                <w:color w:val="auto"/>
                <w:sz w:val="24"/>
                <w:szCs w:val="24"/>
                <w:highlight w:val="none"/>
                <w:u w:val="none"/>
                <w:lang w:val="en-US" w:eastAsia="zh-CN"/>
              </w:rPr>
              <w:t>”“支付宝”“国家医保服务平台”等</w:t>
            </w:r>
            <w:r>
              <w:rPr>
                <w:rFonts w:hint="eastAsia" w:ascii="仿宋_GB2312" w:hAnsi="仿宋_GB2312" w:cs="仿宋_GB2312"/>
                <w:color w:val="auto"/>
                <w:sz w:val="24"/>
                <w:szCs w:val="24"/>
                <w:highlight w:val="none"/>
                <w:u w:val="none"/>
                <w:lang w:val="en-US" w:eastAsia="zh-CN"/>
              </w:rPr>
              <w:t>平台</w:t>
            </w:r>
            <w:r>
              <w:rPr>
                <w:rFonts w:hint="eastAsia" w:ascii="仿宋_GB2312" w:hAnsi="仿宋_GB2312" w:eastAsia="仿宋_GB2312" w:cs="仿宋_GB2312"/>
                <w:color w:val="auto"/>
                <w:sz w:val="24"/>
                <w:szCs w:val="24"/>
                <w:highlight w:val="none"/>
                <w:u w:val="none"/>
                <w:lang w:val="en-US" w:eastAsia="zh-CN"/>
              </w:rPr>
              <w:t>为媒介，打通参保人查询医保相关信息渠道，包括参保缴费信息、</w:t>
            </w:r>
            <w:r>
              <w:rPr>
                <w:rFonts w:hint="eastAsia" w:ascii="仿宋_GB2312" w:hAnsi="仿宋_GB2312" w:cs="仿宋_GB2312"/>
                <w:color w:val="auto"/>
                <w:sz w:val="24"/>
                <w:szCs w:val="24"/>
                <w:highlight w:val="none"/>
                <w:u w:val="none"/>
                <w:lang w:val="en-US" w:eastAsia="zh-CN"/>
              </w:rPr>
              <w:t>门诊特定病种</w:t>
            </w:r>
            <w:r>
              <w:rPr>
                <w:rFonts w:hint="eastAsia" w:ascii="仿宋_GB2312" w:hAnsi="仿宋_GB2312" w:eastAsia="仿宋_GB2312" w:cs="仿宋_GB2312"/>
                <w:color w:val="auto"/>
                <w:sz w:val="24"/>
                <w:szCs w:val="24"/>
                <w:highlight w:val="none"/>
                <w:u w:val="none"/>
                <w:lang w:val="en-US" w:eastAsia="zh-CN"/>
              </w:rPr>
              <w:t>具体信息、医疗费用信息等。（2）业务办理更高效。加强信息化建设，实现更多业务的“指尖</w:t>
            </w:r>
            <w:r>
              <w:rPr>
                <w:rFonts w:hint="eastAsia" w:ascii="仿宋_GB2312" w:hAnsi="仿宋_GB2312" w:eastAsia="仿宋_GB2312" w:cs="仿宋_GB2312"/>
                <w:color w:val="auto"/>
                <w:sz w:val="24"/>
                <w:szCs w:val="24"/>
                <w:highlight w:val="none"/>
                <w:u w:val="none"/>
                <w:shd w:val="clear" w:color="auto" w:fill="auto"/>
                <w:lang w:val="en-US" w:eastAsia="zh-CN"/>
              </w:rPr>
              <w:t>办</w:t>
            </w:r>
            <w:r>
              <w:rPr>
                <w:rFonts w:hint="eastAsia" w:ascii="仿宋_GB2312" w:hAnsi="仿宋_GB2312" w:eastAsia="仿宋_GB2312" w:cs="仿宋_GB2312"/>
                <w:color w:val="auto"/>
                <w:sz w:val="24"/>
                <w:szCs w:val="24"/>
                <w:highlight w:val="none"/>
                <w:u w:val="none"/>
                <w:lang w:val="en-US" w:eastAsia="zh-CN"/>
              </w:rPr>
              <w:t>”“不见面</w:t>
            </w:r>
            <w:r>
              <w:rPr>
                <w:rFonts w:hint="eastAsia" w:ascii="仿宋_GB2312" w:hAnsi="仿宋_GB2312" w:eastAsia="仿宋_GB2312" w:cs="仿宋_GB2312"/>
                <w:color w:val="auto"/>
                <w:sz w:val="24"/>
                <w:szCs w:val="24"/>
                <w:highlight w:val="none"/>
                <w:u w:val="none"/>
                <w:shd w:val="clear" w:color="auto" w:fill="auto"/>
                <w:lang w:val="en-US" w:eastAsia="zh-CN"/>
              </w:rPr>
              <w:t>办</w:t>
            </w:r>
            <w:r>
              <w:rPr>
                <w:rFonts w:hint="eastAsia" w:ascii="仿宋_GB2312" w:hAnsi="仿宋_GB2312" w:eastAsia="仿宋_GB2312" w:cs="仿宋_GB2312"/>
                <w:color w:val="auto"/>
                <w:sz w:val="24"/>
                <w:szCs w:val="24"/>
                <w:highlight w:val="none"/>
                <w:u w:val="none"/>
                <w:lang w:val="en-US" w:eastAsia="zh-CN"/>
              </w:rPr>
              <w:t>”“网上办”，打造更加高效便民的医保服务。</w:t>
            </w:r>
          </w:p>
          <w:p>
            <w:pPr>
              <w:widowControl w:val="0"/>
              <w:wordWrap/>
              <w:adjustRightInd/>
              <w:snapToGrid/>
              <w:spacing w:line="600" w:lineRule="exact"/>
              <w:ind w:firstLine="480" w:firstLineChars="200"/>
              <w:textAlignment w:val="auto"/>
              <w:rPr>
                <w:rFonts w:hint="default" w:ascii="Times New Roman" w:hAnsi="Times New Roman" w:eastAsia="宋体" w:cs="Times New Roman"/>
                <w:color w:val="auto"/>
                <w:highlight w:val="none"/>
                <w:u w:val="none"/>
              </w:rPr>
            </w:pPr>
            <w:r>
              <w:rPr>
                <w:rFonts w:hint="eastAsia" w:ascii="仿宋_GB2312" w:hAnsi="仿宋_GB2312" w:eastAsia="仿宋_GB2312" w:cs="仿宋_GB2312"/>
                <w:color w:val="auto"/>
                <w:sz w:val="24"/>
                <w:szCs w:val="24"/>
                <w:highlight w:val="none"/>
                <w:u w:val="none"/>
                <w:lang w:val="en-US" w:eastAsia="zh-CN"/>
              </w:rPr>
              <w:t>5.落实医疗保障公共服务体系。统一经办管理服务体系，大力推动医保经办服务下沉，实现</w:t>
            </w:r>
            <w:r>
              <w:rPr>
                <w:rFonts w:hint="eastAsia" w:ascii="仿宋_GB2312" w:hAnsi="仿宋_GB2312" w:cs="仿宋_GB2312"/>
                <w:color w:val="auto"/>
                <w:sz w:val="24"/>
                <w:szCs w:val="24"/>
                <w:highlight w:val="none"/>
                <w:u w:val="none"/>
                <w:lang w:val="en-US" w:eastAsia="zh-CN"/>
              </w:rPr>
              <w:t>各</w:t>
            </w:r>
            <w:r>
              <w:rPr>
                <w:rFonts w:hint="eastAsia" w:ascii="仿宋_GB2312" w:hAnsi="仿宋_GB2312" w:eastAsia="仿宋_GB2312" w:cs="仿宋_GB2312"/>
                <w:color w:val="auto"/>
                <w:sz w:val="24"/>
                <w:szCs w:val="24"/>
                <w:highlight w:val="none"/>
                <w:u w:val="none"/>
                <w:lang w:val="en-US" w:eastAsia="zh-CN"/>
              </w:rPr>
              <w:t>区（县级市）、乡镇（街道）、村（社区）全覆盖。</w:t>
            </w:r>
          </w:p>
        </w:tc>
      </w:tr>
    </w:tbl>
    <w:p>
      <w:pPr>
        <w:pStyle w:val="2"/>
        <w:adjustRightInd w:val="0"/>
        <w:snapToGrid w:val="0"/>
        <w:spacing w:after="0" w:afterLines="0" w:line="600" w:lineRule="exact"/>
        <w:ind w:firstLine="640"/>
        <w:rPr>
          <w:rFonts w:hint="eastAsia" w:ascii="Times New Roman" w:hAnsi="Times New Roman" w:eastAsia="仿宋_GB2312" w:cs="Times New Roman"/>
          <w:color w:val="auto"/>
          <w:sz w:val="24"/>
          <w:szCs w:val="24"/>
          <w:highlight w:val="none"/>
          <w:u w:val="none"/>
          <w:lang w:eastAsia="zh-CN"/>
        </w:rPr>
      </w:pPr>
      <w:r>
        <w:rPr>
          <w:rFonts w:hint="eastAsia" w:ascii="Times New Roman" w:hAnsi="Times New Roman" w:eastAsia="仿宋_GB2312" w:cs="Times New Roman"/>
          <w:color w:val="auto"/>
          <w:sz w:val="24"/>
          <w:szCs w:val="24"/>
          <w:highlight w:val="none"/>
          <w:u w:val="none"/>
          <w:lang w:eastAsia="zh-CN"/>
        </w:rPr>
        <w:t>注：①“六统一</w:t>
      </w:r>
      <w:r>
        <w:rPr>
          <w:rFonts w:hint="eastAsia" w:ascii="Times New Roman" w:hAnsi="Times New Roman" w:eastAsia="仿宋_GB2312" w:cs="Times New Roman"/>
          <w:color w:val="auto"/>
          <w:sz w:val="24"/>
          <w:szCs w:val="24"/>
          <w:highlight w:val="none"/>
          <w:u w:val="none"/>
          <w:lang w:val="en-US" w:eastAsia="zh-CN"/>
        </w:rPr>
        <w:t>”：指“</w:t>
      </w:r>
      <w:r>
        <w:rPr>
          <w:rFonts w:hint="eastAsia" w:ascii="Times New Roman" w:hAnsi="Times New Roman" w:eastAsia="仿宋_GB2312" w:cs="Times New Roman"/>
          <w:color w:val="auto"/>
          <w:sz w:val="24"/>
          <w:szCs w:val="24"/>
          <w:highlight w:val="none"/>
          <w:u w:val="none"/>
        </w:rPr>
        <w:t>医保经办服务事项名称</w:t>
      </w:r>
      <w:r>
        <w:rPr>
          <w:rFonts w:hint="eastAsia" w:ascii="Times New Roman" w:hAnsi="Times New Roman" w:eastAsia="仿宋_GB2312" w:cs="Times New Roman"/>
          <w:color w:val="auto"/>
          <w:sz w:val="24"/>
          <w:szCs w:val="24"/>
          <w:highlight w:val="none"/>
          <w:u w:val="none"/>
          <w:lang w:eastAsia="zh-CN"/>
        </w:rPr>
        <w:t>、</w:t>
      </w:r>
      <w:r>
        <w:rPr>
          <w:rFonts w:hint="eastAsia" w:ascii="Times New Roman" w:hAnsi="Times New Roman" w:eastAsia="仿宋_GB2312" w:cs="Times New Roman"/>
          <w:color w:val="auto"/>
          <w:sz w:val="24"/>
          <w:szCs w:val="24"/>
          <w:highlight w:val="none"/>
          <w:u w:val="none"/>
        </w:rPr>
        <w:t>事项编码</w:t>
      </w:r>
      <w:r>
        <w:rPr>
          <w:rFonts w:hint="eastAsia" w:ascii="Times New Roman" w:hAnsi="Times New Roman" w:eastAsia="仿宋_GB2312" w:cs="Times New Roman"/>
          <w:color w:val="auto"/>
          <w:sz w:val="24"/>
          <w:szCs w:val="24"/>
          <w:highlight w:val="none"/>
          <w:u w:val="none"/>
          <w:lang w:eastAsia="zh-CN"/>
        </w:rPr>
        <w:t>、</w:t>
      </w:r>
      <w:r>
        <w:rPr>
          <w:rFonts w:hint="eastAsia" w:ascii="Times New Roman" w:hAnsi="Times New Roman" w:eastAsia="仿宋_GB2312" w:cs="Times New Roman"/>
          <w:color w:val="auto"/>
          <w:sz w:val="24"/>
          <w:szCs w:val="24"/>
          <w:highlight w:val="none"/>
          <w:u w:val="none"/>
        </w:rPr>
        <w:t>办理材料</w:t>
      </w:r>
      <w:r>
        <w:rPr>
          <w:rFonts w:hint="eastAsia" w:ascii="Times New Roman" w:hAnsi="Times New Roman" w:eastAsia="仿宋_GB2312" w:cs="Times New Roman"/>
          <w:color w:val="auto"/>
          <w:sz w:val="24"/>
          <w:szCs w:val="24"/>
          <w:highlight w:val="none"/>
          <w:u w:val="none"/>
          <w:lang w:eastAsia="zh-CN"/>
        </w:rPr>
        <w:t>、</w:t>
      </w:r>
      <w:r>
        <w:rPr>
          <w:rFonts w:hint="eastAsia" w:ascii="Times New Roman" w:hAnsi="Times New Roman" w:eastAsia="仿宋_GB2312" w:cs="Times New Roman"/>
          <w:color w:val="auto"/>
          <w:sz w:val="24"/>
          <w:szCs w:val="24"/>
          <w:highlight w:val="none"/>
          <w:u w:val="none"/>
        </w:rPr>
        <w:t>办理时限</w:t>
      </w:r>
      <w:r>
        <w:rPr>
          <w:rFonts w:hint="eastAsia" w:ascii="Times New Roman" w:hAnsi="Times New Roman" w:eastAsia="仿宋_GB2312" w:cs="Times New Roman"/>
          <w:color w:val="auto"/>
          <w:sz w:val="24"/>
          <w:szCs w:val="24"/>
          <w:highlight w:val="none"/>
          <w:u w:val="none"/>
          <w:lang w:eastAsia="zh-CN"/>
        </w:rPr>
        <w:t>、</w:t>
      </w:r>
      <w:r>
        <w:rPr>
          <w:rFonts w:hint="eastAsia" w:ascii="Times New Roman" w:hAnsi="Times New Roman" w:eastAsia="仿宋_GB2312" w:cs="Times New Roman"/>
          <w:color w:val="auto"/>
          <w:sz w:val="24"/>
          <w:szCs w:val="24"/>
          <w:highlight w:val="none"/>
          <w:u w:val="none"/>
        </w:rPr>
        <w:t>办理环节</w:t>
      </w:r>
      <w:r>
        <w:rPr>
          <w:rFonts w:hint="eastAsia" w:ascii="Times New Roman" w:hAnsi="Times New Roman" w:eastAsia="仿宋_GB2312" w:cs="Times New Roman"/>
          <w:color w:val="auto"/>
          <w:sz w:val="24"/>
          <w:szCs w:val="24"/>
          <w:highlight w:val="none"/>
          <w:u w:val="none"/>
          <w:lang w:eastAsia="zh-CN"/>
        </w:rPr>
        <w:t>、</w:t>
      </w:r>
      <w:r>
        <w:rPr>
          <w:rFonts w:hint="eastAsia" w:ascii="Times New Roman" w:hAnsi="Times New Roman" w:eastAsia="仿宋_GB2312" w:cs="Times New Roman"/>
          <w:color w:val="auto"/>
          <w:sz w:val="24"/>
          <w:szCs w:val="24"/>
          <w:highlight w:val="none"/>
          <w:u w:val="none"/>
        </w:rPr>
        <w:t>服务标准</w:t>
      </w:r>
      <w:r>
        <w:rPr>
          <w:rFonts w:hint="eastAsia" w:ascii="Times New Roman" w:hAnsi="Times New Roman" w:eastAsia="仿宋_GB2312" w:cs="Times New Roman"/>
          <w:color w:val="auto"/>
          <w:sz w:val="24"/>
          <w:szCs w:val="24"/>
          <w:highlight w:val="none"/>
          <w:u w:val="none"/>
          <w:lang w:val="en-US" w:eastAsia="zh-CN"/>
        </w:rPr>
        <w:t>”统一。</w:t>
      </w:r>
    </w:p>
    <w:p>
      <w:pPr>
        <w:pStyle w:val="2"/>
        <w:adjustRightInd w:val="0"/>
        <w:snapToGrid w:val="0"/>
        <w:spacing w:after="0" w:afterLines="0" w:line="600" w:lineRule="exact"/>
        <w:ind w:firstLine="640"/>
        <w:rPr>
          <w:rFonts w:hint="eastAsia" w:ascii="Times New Roman" w:hAnsi="Times New Roman" w:eastAsia="仿宋_GB2312" w:cs="Times New Roman"/>
          <w:color w:val="auto"/>
          <w:sz w:val="24"/>
          <w:szCs w:val="24"/>
          <w:highlight w:val="none"/>
          <w:u w:val="none"/>
          <w:lang w:eastAsia="zh-CN"/>
        </w:rPr>
      </w:pPr>
      <w:r>
        <w:rPr>
          <w:rFonts w:hint="eastAsia" w:ascii="Times New Roman" w:hAnsi="Times New Roman" w:eastAsia="仿宋_GB2312" w:cs="Times New Roman"/>
          <w:color w:val="auto"/>
          <w:sz w:val="24"/>
          <w:szCs w:val="24"/>
          <w:highlight w:val="none"/>
          <w:u w:val="none"/>
          <w:lang w:eastAsia="zh-CN"/>
        </w:rPr>
        <w:t>②“</w:t>
      </w:r>
      <w:r>
        <w:rPr>
          <w:rFonts w:hint="eastAsia" w:ascii="Times New Roman" w:hAnsi="Times New Roman" w:eastAsia="仿宋_GB2312" w:cs="Times New Roman"/>
          <w:color w:val="auto"/>
          <w:sz w:val="24"/>
          <w:szCs w:val="24"/>
          <w:highlight w:val="none"/>
          <w:u w:val="none"/>
        </w:rPr>
        <w:t>四</w:t>
      </w:r>
      <w:r>
        <w:rPr>
          <w:rFonts w:hint="eastAsia" w:ascii="Times New Roman" w:hAnsi="Times New Roman" w:eastAsia="仿宋_GB2312" w:cs="Times New Roman"/>
          <w:color w:val="auto"/>
          <w:sz w:val="24"/>
          <w:szCs w:val="24"/>
          <w:highlight w:val="none"/>
          <w:u w:val="none"/>
          <w:shd w:val="clear" w:color="auto" w:fill="auto"/>
        </w:rPr>
        <w:t>最</w:t>
      </w:r>
      <w:r>
        <w:rPr>
          <w:rFonts w:hint="eastAsia" w:ascii="Times New Roman" w:hAnsi="Times New Roman" w:eastAsia="仿宋_GB2312" w:cs="Times New Roman"/>
          <w:color w:val="auto"/>
          <w:sz w:val="24"/>
          <w:szCs w:val="24"/>
          <w:highlight w:val="none"/>
          <w:u w:val="none"/>
          <w:lang w:eastAsia="zh-CN"/>
        </w:rPr>
        <w:t>”：指</w:t>
      </w:r>
      <w:r>
        <w:rPr>
          <w:rFonts w:hint="eastAsia" w:ascii="Times New Roman" w:hAnsi="Times New Roman" w:eastAsia="仿宋_GB2312" w:cs="Times New Roman"/>
          <w:color w:val="auto"/>
          <w:sz w:val="24"/>
          <w:szCs w:val="24"/>
          <w:highlight w:val="none"/>
          <w:u w:val="none"/>
        </w:rPr>
        <w:t>服务质量最优</w:t>
      </w:r>
      <w:r>
        <w:rPr>
          <w:rFonts w:hint="eastAsia" w:ascii="Times New Roman" w:hAnsi="Times New Roman" w:eastAsia="仿宋_GB2312" w:cs="Times New Roman"/>
          <w:color w:val="auto"/>
          <w:sz w:val="24"/>
          <w:szCs w:val="24"/>
          <w:highlight w:val="none"/>
          <w:u w:val="none"/>
          <w:lang w:eastAsia="zh-CN"/>
        </w:rPr>
        <w:t>、</w:t>
      </w:r>
      <w:r>
        <w:rPr>
          <w:rFonts w:hint="eastAsia" w:ascii="Times New Roman" w:hAnsi="Times New Roman" w:eastAsia="仿宋_GB2312" w:cs="Times New Roman"/>
          <w:color w:val="auto"/>
          <w:sz w:val="24"/>
          <w:szCs w:val="24"/>
          <w:highlight w:val="none"/>
          <w:u w:val="none"/>
        </w:rPr>
        <w:t>所需材料最少</w:t>
      </w:r>
      <w:r>
        <w:rPr>
          <w:rFonts w:hint="eastAsia" w:ascii="Times New Roman" w:hAnsi="Times New Roman" w:eastAsia="仿宋_GB2312" w:cs="Times New Roman"/>
          <w:color w:val="auto"/>
          <w:sz w:val="24"/>
          <w:szCs w:val="24"/>
          <w:highlight w:val="none"/>
          <w:u w:val="none"/>
          <w:lang w:eastAsia="zh-CN"/>
        </w:rPr>
        <w:t>、</w:t>
      </w:r>
      <w:r>
        <w:rPr>
          <w:rFonts w:hint="eastAsia" w:ascii="Times New Roman" w:hAnsi="Times New Roman" w:eastAsia="仿宋_GB2312" w:cs="Times New Roman"/>
          <w:color w:val="auto"/>
          <w:sz w:val="24"/>
          <w:szCs w:val="24"/>
          <w:highlight w:val="none"/>
          <w:u w:val="none"/>
        </w:rPr>
        <w:t>办理时限最短</w:t>
      </w:r>
      <w:r>
        <w:rPr>
          <w:rFonts w:hint="eastAsia" w:ascii="Times New Roman" w:hAnsi="Times New Roman" w:eastAsia="仿宋_GB2312" w:cs="Times New Roman"/>
          <w:color w:val="auto"/>
          <w:sz w:val="24"/>
          <w:szCs w:val="24"/>
          <w:highlight w:val="none"/>
          <w:u w:val="none"/>
          <w:lang w:eastAsia="zh-CN"/>
        </w:rPr>
        <w:t>、</w:t>
      </w:r>
      <w:r>
        <w:rPr>
          <w:rFonts w:hint="eastAsia" w:ascii="Times New Roman" w:hAnsi="Times New Roman" w:eastAsia="仿宋_GB2312" w:cs="Times New Roman"/>
          <w:color w:val="auto"/>
          <w:sz w:val="24"/>
          <w:szCs w:val="24"/>
          <w:highlight w:val="none"/>
          <w:u w:val="none"/>
        </w:rPr>
        <w:t>办理流程最简</w:t>
      </w:r>
      <w:r>
        <w:rPr>
          <w:rFonts w:hint="eastAsia" w:ascii="Times New Roman" w:hAnsi="Times New Roman" w:eastAsia="仿宋_GB2312" w:cs="Times New Roman"/>
          <w:color w:val="auto"/>
          <w:sz w:val="24"/>
          <w:szCs w:val="24"/>
          <w:highlight w:val="none"/>
          <w:u w:val="none"/>
          <w:lang w:eastAsia="zh-CN"/>
        </w:rPr>
        <w:t>。</w:t>
      </w:r>
    </w:p>
    <w:p>
      <w:pPr>
        <w:pStyle w:val="2"/>
        <w:adjustRightInd w:val="0"/>
        <w:snapToGrid w:val="0"/>
        <w:spacing w:after="0" w:afterLines="0" w:line="600" w:lineRule="exact"/>
        <w:ind w:firstLine="0" w:firstLineChars="0"/>
        <w:rPr>
          <w:rFonts w:hint="eastAsia" w:ascii="Times New Roman" w:hAnsi="Times New Roman" w:eastAsia="仿宋_GB2312" w:cs="Times New Roman"/>
          <w:color w:val="auto"/>
          <w:sz w:val="24"/>
          <w:szCs w:val="24"/>
          <w:highlight w:val="none"/>
          <w:u w:val="none"/>
          <w:lang w:eastAsia="zh-CN"/>
        </w:rPr>
      </w:pPr>
    </w:p>
    <w:p>
      <w:pPr>
        <w:pStyle w:val="3"/>
        <w:numPr>
          <w:ilvl w:val="0"/>
          <w:numId w:val="1"/>
        </w:numPr>
        <w:spacing w:before="0" w:beforeLines="0" w:after="0" w:afterLines="0" w:line="600" w:lineRule="exact"/>
        <w:ind w:left="0" w:firstLine="0"/>
        <w:jc w:val="center"/>
        <w:outlineLvl w:val="0"/>
        <w:rPr>
          <w:rStyle w:val="15"/>
          <w:rFonts w:hint="default" w:ascii="Times New Roman" w:hAnsi="Times New Roman" w:eastAsia="方正小标宋简体" w:cs="Times New Roman"/>
          <w:b w:val="0"/>
          <w:color w:val="auto"/>
          <w:sz w:val="36"/>
          <w:szCs w:val="36"/>
          <w:highlight w:val="none"/>
          <w:u w:val="none"/>
        </w:rPr>
      </w:pPr>
      <w:r>
        <w:rPr>
          <w:rFonts w:hint="eastAsia" w:ascii="Times New Roman" w:hAnsi="Times New Roman" w:eastAsia="仿宋_GB2312" w:cs="Times New Roman"/>
          <w:color w:val="auto"/>
          <w:sz w:val="2"/>
          <w:szCs w:val="2"/>
          <w:highlight w:val="none"/>
          <w:u w:val="none"/>
          <w:lang w:val="en-US" w:eastAsia="zh-CN"/>
        </w:rPr>
        <w:t xml:space="preserve"> </w:t>
      </w:r>
      <w:r>
        <w:rPr>
          <w:rStyle w:val="15"/>
          <w:rFonts w:hint="default" w:ascii="Times New Roman" w:hAnsi="Times New Roman" w:eastAsia="方正小标宋简体" w:cs="Times New Roman"/>
          <w:b w:val="0"/>
          <w:color w:val="auto"/>
          <w:sz w:val="36"/>
          <w:szCs w:val="36"/>
          <w:highlight w:val="none"/>
          <w:u w:val="none"/>
        </w:rPr>
        <w:t xml:space="preserve"> 保障措施</w:t>
      </w:r>
    </w:p>
    <w:p>
      <w:pPr>
        <w:pStyle w:val="3"/>
        <w:numPr>
          <w:ilvl w:val="0"/>
          <w:numId w:val="0"/>
        </w:numPr>
        <w:spacing w:before="0" w:beforeLines="0" w:after="0" w:afterLines="0" w:line="600" w:lineRule="exact"/>
        <w:ind w:left="0" w:firstLine="0"/>
        <w:jc w:val="both"/>
        <w:outlineLvl w:val="0"/>
        <w:rPr>
          <w:rStyle w:val="15"/>
          <w:rFonts w:hint="default" w:ascii="Times New Roman" w:hAnsi="Times New Roman" w:eastAsia="方正小标宋简体" w:cs="Times New Roman"/>
          <w:b w:val="0"/>
          <w:color w:val="auto"/>
          <w:sz w:val="36"/>
          <w:szCs w:val="36"/>
          <w:highlight w:val="none"/>
          <w:u w:val="none"/>
        </w:rPr>
      </w:pPr>
    </w:p>
    <w:p>
      <w:pPr>
        <w:pStyle w:val="2"/>
        <w:widowControl/>
        <w:pBdr>
          <w:top w:val="none" w:color="auto" w:sz="0" w:space="0"/>
          <w:left w:val="none" w:color="auto" w:sz="0" w:space="0"/>
          <w:bottom w:val="none" w:color="auto" w:sz="0" w:space="0"/>
          <w:right w:val="none" w:color="auto" w:sz="0" w:space="0"/>
        </w:pBdr>
        <w:wordWrap/>
        <w:adjustRightInd w:val="0"/>
        <w:snapToGrid w:val="0"/>
        <w:spacing w:before="0" w:beforeLines="0" w:beforeAutospacing="0" w:after="0" w:afterLines="0" w:afterAutospacing="0" w:line="600" w:lineRule="exact"/>
        <w:ind w:left="0" w:right="0" w:firstLine="640"/>
        <w:jc w:val="both"/>
        <w:textAlignment w:val="auto"/>
        <w:rPr>
          <w:rFonts w:hint="default" w:ascii="仿宋_GB2312" w:hAnsi="仿宋_GB2312" w:eastAsia="仿宋_GB2312" w:cs="仿宋_GB2312"/>
          <w:b w:val="0"/>
          <w:bCs w:val="0"/>
          <w:color w:val="auto"/>
          <w:kern w:val="0"/>
          <w:sz w:val="32"/>
          <w:szCs w:val="24"/>
          <w:highlight w:val="none"/>
          <w:lang w:val="en-US" w:eastAsia="zh-CN" w:bidi="ar-SA"/>
        </w:rPr>
      </w:pPr>
      <w:r>
        <w:rPr>
          <w:rFonts w:hint="default" w:ascii="仿宋_GB2312" w:hAnsi="仿宋_GB2312" w:eastAsia="仿宋_GB2312" w:cs="仿宋_GB2312"/>
          <w:b w:val="0"/>
          <w:bCs w:val="0"/>
          <w:color w:val="auto"/>
          <w:kern w:val="0"/>
          <w:sz w:val="32"/>
          <w:szCs w:val="24"/>
          <w:highlight w:val="none"/>
          <w:lang w:val="en-US" w:eastAsia="zh-CN" w:bidi="ar-SA"/>
        </w:rPr>
        <w:t>坚持和加强党的全面领导，增强“四个意识”、坚定“四个自信”、做到“两个维护”，确保医疗保障工作始终坚持正确政治方向。把党的领导贯穿到规划实施的各领域和全过程，引领保障我市医疗保障事业高质量发展。充分发挥各级党组织在“十四五”时期推进茂名医保治理现代化中的战斗堡垒作用和党员先锋模范作用，从法治保障、组织保障、投入保障、能力保障、实施保障等方面为实现本规划目标任务提供根本保证。</w:t>
      </w:r>
    </w:p>
    <w:p>
      <w:pPr>
        <w:pStyle w:val="2"/>
        <w:widowControl/>
        <w:pBdr>
          <w:top w:val="none" w:color="auto" w:sz="0" w:space="0"/>
          <w:left w:val="none" w:color="auto" w:sz="0" w:space="0"/>
          <w:bottom w:val="none" w:color="auto" w:sz="0" w:space="0"/>
          <w:right w:val="none" w:color="auto" w:sz="0" w:space="0"/>
        </w:pBdr>
        <w:wordWrap/>
        <w:adjustRightInd w:val="0"/>
        <w:snapToGrid w:val="0"/>
        <w:spacing w:before="0" w:beforeLines="0" w:beforeAutospacing="0" w:after="0" w:afterLines="0" w:afterAutospacing="0" w:line="600" w:lineRule="exact"/>
        <w:ind w:left="0" w:right="0" w:firstLine="640"/>
        <w:jc w:val="both"/>
        <w:textAlignment w:val="auto"/>
        <w:rPr>
          <w:rFonts w:hint="default" w:ascii="仿宋_GB2312" w:hAnsi="仿宋_GB2312" w:eastAsia="仿宋_GB2312" w:cs="仿宋_GB2312"/>
          <w:b w:val="0"/>
          <w:bCs w:val="0"/>
          <w:color w:val="auto"/>
          <w:kern w:val="0"/>
          <w:sz w:val="32"/>
          <w:szCs w:val="24"/>
          <w:highlight w:val="none"/>
          <w:lang w:val="en-US" w:eastAsia="zh-CN" w:bidi="ar-SA"/>
        </w:rPr>
      </w:pPr>
    </w:p>
    <w:p>
      <w:pPr>
        <w:pStyle w:val="4"/>
        <w:wordWrap/>
        <w:adjustRightInd/>
        <w:snapToGrid/>
        <w:spacing w:before="0" w:beforeLines="0" w:after="0" w:afterLines="0" w:line="600" w:lineRule="exact"/>
        <w:jc w:val="center"/>
        <w:textAlignment w:val="auto"/>
        <w:outlineLvl w:val="1"/>
        <w:rPr>
          <w:rFonts w:hint="default" w:ascii="Times New Roman" w:hAnsi="Times New Roman" w:eastAsia="黑体" w:cs="Times New Roman"/>
          <w:b w:val="0"/>
          <w:bCs/>
          <w:color w:val="auto"/>
          <w:sz w:val="32"/>
          <w:szCs w:val="32"/>
          <w:highlight w:val="none"/>
          <w:u w:val="none"/>
        </w:rPr>
      </w:pPr>
      <w:r>
        <w:rPr>
          <w:rFonts w:hint="default" w:ascii="Times New Roman" w:hAnsi="Times New Roman" w:eastAsia="黑体" w:cs="Times New Roman"/>
          <w:b w:val="0"/>
          <w:bCs/>
          <w:color w:val="auto"/>
          <w:sz w:val="32"/>
          <w:szCs w:val="32"/>
          <w:highlight w:val="none"/>
          <w:u w:val="none"/>
        </w:rPr>
        <w:t>第</w:t>
      </w:r>
      <w:r>
        <w:rPr>
          <w:rFonts w:hint="default" w:ascii="Times New Roman" w:hAnsi="Times New Roman" w:eastAsia="黑体" w:cs="Times New Roman"/>
          <w:b w:val="0"/>
          <w:bCs/>
          <w:color w:val="auto"/>
          <w:sz w:val="32"/>
          <w:szCs w:val="32"/>
          <w:highlight w:val="none"/>
          <w:u w:val="none"/>
          <w:lang w:eastAsia="zh-CN"/>
        </w:rPr>
        <w:t>一</w:t>
      </w:r>
      <w:r>
        <w:rPr>
          <w:rFonts w:hint="default" w:ascii="Times New Roman" w:hAnsi="Times New Roman" w:eastAsia="黑体" w:cs="Times New Roman"/>
          <w:b w:val="0"/>
          <w:bCs/>
          <w:color w:val="auto"/>
          <w:sz w:val="32"/>
          <w:szCs w:val="32"/>
          <w:highlight w:val="none"/>
          <w:u w:val="none"/>
        </w:rPr>
        <w:t>节 法治保障</w:t>
      </w:r>
    </w:p>
    <w:p>
      <w:pPr>
        <w:pStyle w:val="11"/>
        <w:widowControl/>
        <w:pBdr>
          <w:top w:val="none" w:color="auto" w:sz="0" w:space="0"/>
          <w:left w:val="none" w:color="auto" w:sz="0" w:space="0"/>
          <w:bottom w:val="none" w:color="auto" w:sz="0" w:space="0"/>
          <w:right w:val="none" w:color="auto" w:sz="0" w:space="0"/>
        </w:pBdr>
        <w:wordWrap/>
        <w:adjustRightInd/>
        <w:snapToGrid/>
        <w:spacing w:before="0" w:beforeLines="0" w:beforeAutospacing="0" w:after="0" w:afterLines="0" w:afterAutospacing="0" w:line="600" w:lineRule="exact"/>
        <w:ind w:left="0" w:right="0" w:firstLine="640" w:firstLineChars="200"/>
        <w:jc w:val="both"/>
        <w:textAlignment w:val="auto"/>
        <w:rPr>
          <w:rFonts w:hint="default" w:ascii="仿宋_GB2312" w:hAnsi="仿宋_GB2312" w:eastAsia="仿宋_GB2312" w:cs="仿宋_GB2312"/>
          <w:b w:val="0"/>
          <w:bCs w:val="0"/>
          <w:color w:val="auto"/>
          <w:kern w:val="0"/>
          <w:sz w:val="32"/>
          <w:szCs w:val="24"/>
          <w:highlight w:val="none"/>
          <w:lang w:val="en-US" w:eastAsia="zh-CN" w:bidi="ar-SA"/>
        </w:rPr>
      </w:pPr>
      <w:r>
        <w:rPr>
          <w:rFonts w:hint="eastAsia" w:ascii="楷体" w:hAnsi="楷体" w:eastAsia="楷体" w:cs="楷体"/>
          <w:b w:val="0"/>
          <w:bCs w:val="0"/>
          <w:color w:val="auto"/>
          <w:kern w:val="0"/>
          <w:sz w:val="32"/>
          <w:szCs w:val="24"/>
          <w:highlight w:val="none"/>
          <w:lang w:val="en-US" w:eastAsia="zh-CN" w:bidi="ar-SA"/>
        </w:rPr>
        <w:t>加强医疗保障法治建设。</w:t>
      </w:r>
      <w:r>
        <w:rPr>
          <w:rFonts w:hint="default" w:ascii="仿宋_GB2312" w:hAnsi="仿宋_GB2312" w:eastAsia="仿宋_GB2312" w:cs="仿宋_GB2312"/>
          <w:b w:val="0"/>
          <w:bCs w:val="0"/>
          <w:color w:val="auto"/>
          <w:kern w:val="0"/>
          <w:sz w:val="32"/>
          <w:szCs w:val="24"/>
          <w:highlight w:val="none"/>
          <w:lang w:val="en-US" w:eastAsia="zh-CN" w:bidi="ar-SA"/>
        </w:rPr>
        <w:t>根据国家和省的医保制度与政策及改革方向，制定具有茂名特色的医疗保障政策文件和管理制度，明确医疗保障制度的框架体系、各制度的功能定位、政府责任、筹资机制与责任分担比例、管理体制、经办机制、监督机制等。配合推动医保行政法规的制定，推动保障医保政策制度落实的法律法规依据不断完善。</w:t>
      </w:r>
    </w:p>
    <w:p>
      <w:pPr>
        <w:pStyle w:val="11"/>
        <w:widowControl/>
        <w:pBdr>
          <w:top w:val="none" w:color="auto" w:sz="0" w:space="0"/>
          <w:left w:val="none" w:color="auto" w:sz="0" w:space="0"/>
          <w:bottom w:val="none" w:color="auto" w:sz="0" w:space="0"/>
          <w:right w:val="none" w:color="auto" w:sz="0" w:space="0"/>
        </w:pBdr>
        <w:wordWrap/>
        <w:adjustRightInd/>
        <w:snapToGrid/>
        <w:spacing w:before="0" w:beforeLines="0" w:beforeAutospacing="0" w:after="0" w:afterLines="0" w:afterAutospacing="0" w:line="600" w:lineRule="exact"/>
        <w:ind w:left="0" w:right="0" w:firstLine="640" w:firstLineChars="200"/>
        <w:jc w:val="both"/>
        <w:textAlignment w:val="auto"/>
        <w:rPr>
          <w:rFonts w:hint="default" w:ascii="仿宋_GB2312" w:hAnsi="仿宋_GB2312" w:eastAsia="仿宋_GB2312" w:cs="仿宋_GB2312"/>
          <w:b w:val="0"/>
          <w:bCs w:val="0"/>
          <w:color w:val="auto"/>
          <w:kern w:val="0"/>
          <w:sz w:val="32"/>
          <w:szCs w:val="24"/>
          <w:highlight w:val="none"/>
          <w:lang w:val="en-US" w:eastAsia="zh-CN" w:bidi="ar-SA"/>
        </w:rPr>
      </w:pPr>
      <w:r>
        <w:rPr>
          <w:rFonts w:hint="eastAsia" w:ascii="楷体" w:hAnsi="楷体" w:eastAsia="楷体" w:cs="楷体"/>
          <w:b w:val="0"/>
          <w:bCs w:val="0"/>
          <w:color w:val="auto"/>
          <w:kern w:val="0"/>
          <w:sz w:val="32"/>
          <w:szCs w:val="24"/>
          <w:highlight w:val="none"/>
          <w:lang w:val="en-US" w:eastAsia="zh-CN" w:bidi="ar-SA"/>
        </w:rPr>
        <w:t>加强宣传教育，提高法治意识。</w:t>
      </w:r>
      <w:r>
        <w:rPr>
          <w:rFonts w:hint="default" w:ascii="仿宋_GB2312" w:hAnsi="仿宋_GB2312" w:eastAsia="仿宋_GB2312" w:cs="仿宋_GB2312"/>
          <w:b w:val="0"/>
          <w:bCs w:val="0"/>
          <w:color w:val="auto"/>
          <w:kern w:val="0"/>
          <w:sz w:val="32"/>
          <w:szCs w:val="24"/>
          <w:highlight w:val="none"/>
          <w:lang w:val="en-US" w:eastAsia="zh-CN" w:bidi="ar-SA"/>
        </w:rPr>
        <w:t>建立健全医保宣传教育机制，把医保政策法规宣传作为落实医保惠民政策的重要抓手。</w:t>
      </w:r>
      <w:r>
        <w:rPr>
          <w:rFonts w:hint="default" w:ascii="仿宋_GB2312" w:hAnsi="仿宋_GB2312" w:eastAsia="仿宋_GB2312" w:cs="仿宋_GB2312"/>
          <w:b/>
          <w:bCs/>
          <w:color w:val="auto"/>
          <w:kern w:val="0"/>
          <w:sz w:val="32"/>
          <w:szCs w:val="24"/>
          <w:highlight w:val="none"/>
          <w:lang w:val="en-US" w:eastAsia="zh-CN" w:bidi="ar-SA"/>
        </w:rPr>
        <w:t>一是</w:t>
      </w:r>
      <w:r>
        <w:rPr>
          <w:rFonts w:hint="default" w:ascii="仿宋_GB2312" w:hAnsi="仿宋_GB2312" w:eastAsia="仿宋_GB2312" w:cs="仿宋_GB2312"/>
          <w:b w:val="0"/>
          <w:bCs w:val="0"/>
          <w:color w:val="auto"/>
          <w:kern w:val="0"/>
          <w:sz w:val="32"/>
          <w:szCs w:val="24"/>
          <w:highlight w:val="none"/>
          <w:lang w:val="en-US" w:eastAsia="zh-CN" w:bidi="ar-SA"/>
        </w:rPr>
        <w:t>加强宣传引导。继续拓宽宣传渠道，创新宣传方式，用通俗易懂的话语宣传解读医保政策法规，切实提高群众知晓率。</w:t>
      </w:r>
      <w:r>
        <w:rPr>
          <w:rFonts w:hint="default" w:ascii="仿宋_GB2312" w:hAnsi="仿宋_GB2312" w:eastAsia="仿宋_GB2312" w:cs="仿宋_GB2312"/>
          <w:b/>
          <w:bCs/>
          <w:color w:val="auto"/>
          <w:kern w:val="0"/>
          <w:sz w:val="32"/>
          <w:szCs w:val="24"/>
          <w:highlight w:val="none"/>
          <w:lang w:val="en-US" w:eastAsia="zh-CN" w:bidi="ar-SA"/>
        </w:rPr>
        <w:t>二是</w:t>
      </w:r>
      <w:r>
        <w:rPr>
          <w:rFonts w:hint="default" w:ascii="仿宋_GB2312" w:hAnsi="仿宋_GB2312" w:eastAsia="仿宋_GB2312" w:cs="仿宋_GB2312"/>
          <w:b w:val="0"/>
          <w:bCs w:val="0"/>
          <w:color w:val="auto"/>
          <w:kern w:val="0"/>
          <w:sz w:val="32"/>
          <w:szCs w:val="24"/>
          <w:highlight w:val="none"/>
          <w:lang w:val="en-US" w:eastAsia="zh-CN" w:bidi="ar-SA"/>
        </w:rPr>
        <w:t>加强基层宣传阵地建设。强化一线窗口工作人员和全市各定点医药机构的宣传意识。</w:t>
      </w:r>
      <w:r>
        <w:rPr>
          <w:rFonts w:hint="default" w:ascii="仿宋_GB2312" w:hAnsi="仿宋_GB2312" w:eastAsia="仿宋_GB2312" w:cs="仿宋_GB2312"/>
          <w:b/>
          <w:bCs/>
          <w:color w:val="auto"/>
          <w:kern w:val="0"/>
          <w:sz w:val="32"/>
          <w:szCs w:val="24"/>
          <w:highlight w:val="none"/>
          <w:lang w:val="en-US" w:eastAsia="zh-CN" w:bidi="ar-SA"/>
        </w:rPr>
        <w:t>三是</w:t>
      </w:r>
      <w:r>
        <w:rPr>
          <w:rFonts w:hint="default" w:ascii="仿宋_GB2312" w:hAnsi="仿宋_GB2312" w:eastAsia="仿宋_GB2312" w:cs="仿宋_GB2312"/>
          <w:b w:val="0"/>
          <w:bCs w:val="0"/>
          <w:color w:val="auto"/>
          <w:kern w:val="0"/>
          <w:sz w:val="32"/>
          <w:szCs w:val="24"/>
          <w:highlight w:val="none"/>
          <w:lang w:val="en-US" w:eastAsia="zh-CN" w:bidi="ar-SA"/>
        </w:rPr>
        <w:t>加大打击欺诈骗保的宣传警示教育力度和典型案例的曝光力度。引导全社会增强医保法治意识和法治责任，</w:t>
      </w:r>
      <w:r>
        <w:rPr>
          <w:rFonts w:hint="default" w:ascii="仿宋_GB2312" w:hAnsi="仿宋_GB2312" w:eastAsia="仿宋_GB2312" w:cs="仿宋_GB2312"/>
          <w:b w:val="0"/>
          <w:bCs w:val="0"/>
          <w:color w:val="auto"/>
          <w:kern w:val="0"/>
          <w:sz w:val="32"/>
          <w:szCs w:val="24"/>
          <w:highlight w:val="none"/>
          <w:shd w:val="clear" w:color="auto" w:fill="auto"/>
          <w:lang w:val="en-US" w:eastAsia="zh-CN" w:bidi="ar-SA"/>
        </w:rPr>
        <w:t>织牢</w:t>
      </w:r>
      <w:r>
        <w:rPr>
          <w:rFonts w:hint="default" w:ascii="仿宋_GB2312" w:hAnsi="仿宋_GB2312" w:eastAsia="仿宋_GB2312" w:cs="仿宋_GB2312"/>
          <w:b w:val="0"/>
          <w:bCs w:val="0"/>
          <w:color w:val="auto"/>
          <w:kern w:val="0"/>
          <w:sz w:val="32"/>
          <w:szCs w:val="24"/>
          <w:highlight w:val="none"/>
          <w:lang w:val="en-US" w:eastAsia="zh-CN" w:bidi="ar-SA"/>
        </w:rPr>
        <w:t>基金“安全网”，护好百姓“救命钱”。</w:t>
      </w:r>
    </w:p>
    <w:p>
      <w:pPr>
        <w:pStyle w:val="11"/>
        <w:widowControl/>
        <w:pBdr>
          <w:top w:val="none" w:color="auto" w:sz="0" w:space="0"/>
          <w:left w:val="none" w:color="auto" w:sz="0" w:space="0"/>
          <w:bottom w:val="none" w:color="auto" w:sz="0" w:space="0"/>
          <w:right w:val="none" w:color="auto" w:sz="0" w:space="0"/>
        </w:pBdr>
        <w:wordWrap/>
        <w:adjustRightInd/>
        <w:snapToGrid/>
        <w:spacing w:before="0" w:beforeLines="0" w:beforeAutospacing="0" w:after="0" w:afterLines="0" w:afterAutospacing="0" w:line="600" w:lineRule="exact"/>
        <w:ind w:left="0" w:right="0" w:firstLine="640" w:firstLineChars="200"/>
        <w:jc w:val="both"/>
        <w:textAlignment w:val="auto"/>
        <w:rPr>
          <w:rFonts w:hint="default" w:ascii="仿宋_GB2312" w:hAnsi="仿宋_GB2312" w:eastAsia="仿宋_GB2312" w:cs="仿宋_GB2312"/>
          <w:b w:val="0"/>
          <w:bCs w:val="0"/>
          <w:color w:val="auto"/>
          <w:kern w:val="0"/>
          <w:sz w:val="32"/>
          <w:szCs w:val="24"/>
          <w:highlight w:val="none"/>
          <w:lang w:val="en-US" w:eastAsia="zh-CN" w:bidi="ar-SA"/>
        </w:rPr>
      </w:pPr>
    </w:p>
    <w:p>
      <w:pPr>
        <w:pStyle w:val="4"/>
        <w:wordWrap/>
        <w:adjustRightInd/>
        <w:snapToGrid/>
        <w:spacing w:before="0" w:beforeLines="0" w:after="0" w:afterLines="0" w:line="600" w:lineRule="exact"/>
        <w:jc w:val="center"/>
        <w:textAlignment w:val="auto"/>
        <w:outlineLvl w:val="1"/>
        <w:rPr>
          <w:rFonts w:hint="default" w:ascii="Times New Roman" w:hAnsi="Times New Roman" w:eastAsia="黑体" w:cs="Times New Roman"/>
          <w:b w:val="0"/>
          <w:bCs/>
          <w:color w:val="auto"/>
          <w:sz w:val="32"/>
          <w:szCs w:val="32"/>
          <w:highlight w:val="none"/>
          <w:u w:val="none"/>
        </w:rPr>
      </w:pPr>
      <w:r>
        <w:rPr>
          <w:rFonts w:hint="default" w:ascii="Times New Roman" w:hAnsi="Times New Roman" w:eastAsia="黑体" w:cs="Times New Roman"/>
          <w:b w:val="0"/>
          <w:bCs/>
          <w:color w:val="auto"/>
          <w:sz w:val="32"/>
          <w:szCs w:val="32"/>
          <w:highlight w:val="none"/>
          <w:u w:val="none"/>
        </w:rPr>
        <w:t>第二节 组织保障</w:t>
      </w:r>
    </w:p>
    <w:p>
      <w:pPr>
        <w:pStyle w:val="11"/>
        <w:widowControl/>
        <w:pBdr>
          <w:top w:val="none" w:color="auto" w:sz="0" w:space="0"/>
          <w:left w:val="none" w:color="auto" w:sz="0" w:space="0"/>
          <w:bottom w:val="none" w:color="auto" w:sz="0" w:space="0"/>
          <w:right w:val="none" w:color="auto" w:sz="0" w:space="0"/>
        </w:pBdr>
        <w:wordWrap/>
        <w:adjustRightInd/>
        <w:snapToGrid/>
        <w:spacing w:before="0" w:beforeLines="0" w:beforeAutospacing="0" w:after="0" w:afterLines="0" w:afterAutospacing="0" w:line="600" w:lineRule="exact"/>
        <w:ind w:left="0" w:right="0" w:firstLine="640" w:firstLineChars="200"/>
        <w:jc w:val="both"/>
        <w:textAlignment w:val="auto"/>
        <w:rPr>
          <w:rFonts w:hint="default" w:ascii="仿宋_GB2312" w:hAnsi="仿宋_GB2312" w:eastAsia="仿宋_GB2312" w:cs="仿宋_GB2312"/>
          <w:b w:val="0"/>
          <w:bCs w:val="0"/>
          <w:color w:val="auto"/>
          <w:kern w:val="0"/>
          <w:sz w:val="32"/>
          <w:szCs w:val="24"/>
          <w:highlight w:val="none"/>
          <w:lang w:val="en-US" w:eastAsia="zh-CN" w:bidi="ar-SA"/>
        </w:rPr>
      </w:pPr>
      <w:r>
        <w:rPr>
          <w:rFonts w:hint="eastAsia" w:ascii="楷体" w:hAnsi="楷体" w:eastAsia="楷体" w:cs="楷体"/>
          <w:b w:val="0"/>
          <w:bCs w:val="0"/>
          <w:color w:val="auto"/>
          <w:kern w:val="0"/>
          <w:sz w:val="32"/>
          <w:szCs w:val="24"/>
          <w:highlight w:val="none"/>
          <w:lang w:val="en-US" w:eastAsia="zh-CN" w:bidi="ar-SA"/>
        </w:rPr>
        <w:t>完善部门协同机制。</w:t>
      </w:r>
      <w:r>
        <w:rPr>
          <w:rFonts w:hint="default" w:ascii="仿宋_GB2312" w:hAnsi="仿宋_GB2312" w:eastAsia="仿宋_GB2312" w:cs="仿宋_GB2312"/>
          <w:b w:val="0"/>
          <w:bCs w:val="0"/>
          <w:color w:val="auto"/>
          <w:kern w:val="0"/>
          <w:sz w:val="32"/>
          <w:szCs w:val="24"/>
          <w:highlight w:val="none"/>
          <w:lang w:val="en-US" w:eastAsia="zh-CN" w:bidi="ar-SA"/>
        </w:rPr>
        <w:t>建立医保基金监管工作联席会议制度，不定期召开部门联席会，及时协调解决重大问题。加强各部门之间的信息共享，建立医保主体</w:t>
      </w:r>
      <w:r>
        <w:rPr>
          <w:rFonts w:hint="default" w:ascii="仿宋_GB2312" w:hAnsi="仿宋_GB2312" w:eastAsia="仿宋_GB2312" w:cs="仿宋_GB2312"/>
          <w:b w:val="0"/>
          <w:bCs w:val="0"/>
          <w:color w:val="auto"/>
          <w:kern w:val="0"/>
          <w:sz w:val="32"/>
          <w:szCs w:val="24"/>
          <w:highlight w:val="none"/>
          <w:shd w:val="clear" w:color="auto" w:fill="auto"/>
          <w:lang w:val="en-US" w:eastAsia="zh-CN" w:bidi="ar-SA"/>
        </w:rPr>
        <w:t>涉医涉</w:t>
      </w:r>
      <w:r>
        <w:rPr>
          <w:rFonts w:hint="default" w:ascii="仿宋_GB2312" w:hAnsi="仿宋_GB2312" w:eastAsia="仿宋_GB2312" w:cs="仿宋_GB2312"/>
          <w:b w:val="0"/>
          <w:bCs w:val="0"/>
          <w:color w:val="auto"/>
          <w:kern w:val="0"/>
          <w:sz w:val="32"/>
          <w:szCs w:val="24"/>
          <w:highlight w:val="none"/>
          <w:lang w:val="en-US" w:eastAsia="zh-CN" w:bidi="ar-SA"/>
        </w:rPr>
        <w:t>药及相关信息对接机制。各部门共同派人建立重大、专项行动检查人员</w:t>
      </w:r>
      <w:r>
        <w:rPr>
          <w:rFonts w:hint="default" w:ascii="仿宋_GB2312" w:hAnsi="仿宋_GB2312" w:eastAsia="仿宋_GB2312" w:cs="仿宋_GB2312"/>
          <w:b w:val="0"/>
          <w:bCs w:val="0"/>
          <w:color w:val="auto"/>
          <w:kern w:val="0"/>
          <w:sz w:val="32"/>
          <w:szCs w:val="24"/>
          <w:highlight w:val="none"/>
          <w:shd w:val="clear" w:color="auto" w:fill="auto"/>
          <w:lang w:val="en-US" w:eastAsia="zh-CN" w:bidi="ar-SA"/>
        </w:rPr>
        <w:t>库</w:t>
      </w:r>
      <w:r>
        <w:rPr>
          <w:rFonts w:hint="default" w:ascii="仿宋_GB2312" w:hAnsi="仿宋_GB2312" w:eastAsia="仿宋_GB2312" w:cs="仿宋_GB2312"/>
          <w:b w:val="0"/>
          <w:bCs w:val="0"/>
          <w:color w:val="auto"/>
          <w:kern w:val="0"/>
          <w:sz w:val="32"/>
          <w:szCs w:val="24"/>
          <w:highlight w:val="none"/>
          <w:lang w:val="en-US" w:eastAsia="zh-CN" w:bidi="ar-SA"/>
        </w:rPr>
        <w:t>，并建立动态调整维护机制，以加强各部门之间的有机联动和监管人员统筹调用，增强监管力量。医保政策制定时，广泛征求相关部门意见建议，以加强医保、医疗、医药各项政策之间的衔接，形成多部门密切配合的良好氛围。</w:t>
      </w:r>
    </w:p>
    <w:p>
      <w:pPr>
        <w:pStyle w:val="11"/>
        <w:widowControl/>
        <w:pBdr>
          <w:top w:val="none" w:color="auto" w:sz="0" w:space="0"/>
          <w:left w:val="none" w:color="auto" w:sz="0" w:space="0"/>
          <w:bottom w:val="none" w:color="auto" w:sz="0" w:space="0"/>
          <w:right w:val="none" w:color="auto" w:sz="0" w:space="0"/>
        </w:pBdr>
        <w:wordWrap/>
        <w:adjustRightInd/>
        <w:snapToGrid/>
        <w:spacing w:before="0" w:beforeLines="0" w:beforeAutospacing="0" w:after="0" w:afterLines="0" w:afterAutospacing="0" w:line="600" w:lineRule="exact"/>
        <w:ind w:left="0" w:right="0" w:firstLine="640" w:firstLineChars="200"/>
        <w:jc w:val="both"/>
        <w:textAlignment w:val="auto"/>
        <w:rPr>
          <w:rFonts w:hint="default" w:ascii="仿宋_GB2312" w:hAnsi="仿宋_GB2312" w:eastAsia="仿宋_GB2312" w:cs="仿宋_GB2312"/>
          <w:b w:val="0"/>
          <w:bCs w:val="0"/>
          <w:color w:val="auto"/>
          <w:kern w:val="0"/>
          <w:sz w:val="32"/>
          <w:szCs w:val="24"/>
          <w:highlight w:val="none"/>
          <w:lang w:val="en-US" w:eastAsia="zh-CN" w:bidi="ar-SA"/>
        </w:rPr>
      </w:pPr>
      <w:r>
        <w:rPr>
          <w:rFonts w:hint="eastAsia" w:ascii="楷体" w:hAnsi="楷体" w:eastAsia="楷体" w:cs="楷体"/>
          <w:b w:val="0"/>
          <w:bCs w:val="0"/>
          <w:color w:val="auto"/>
          <w:kern w:val="0"/>
          <w:sz w:val="32"/>
          <w:szCs w:val="24"/>
          <w:highlight w:val="none"/>
          <w:lang w:val="en-US" w:eastAsia="zh-CN" w:bidi="ar-SA"/>
        </w:rPr>
        <w:t>引入社会力量对医保基金进行监督。</w:t>
      </w:r>
      <w:r>
        <w:rPr>
          <w:rFonts w:hint="default" w:ascii="仿宋_GB2312" w:hAnsi="仿宋_GB2312" w:eastAsia="仿宋_GB2312" w:cs="仿宋_GB2312"/>
          <w:b w:val="0"/>
          <w:bCs w:val="0"/>
          <w:color w:val="auto"/>
          <w:kern w:val="0"/>
          <w:sz w:val="32"/>
          <w:szCs w:val="24"/>
          <w:highlight w:val="none"/>
          <w:lang w:val="en-US" w:eastAsia="zh-CN" w:bidi="ar-SA"/>
        </w:rPr>
        <w:t>各级医保经办机构和大病保险承保机构之间建立定期沟通联系机制；建立完善医疗保障社会义务监督员工作机制，指定专人负责社会义务监督员的管理和联络工作，定期召开座谈会，听取社会义务监督员的意见和建议。同时，探索通过引入第三方评价、信用评价与诚信体系建设、推进行业协会自律等方式，引导社会各界积极规范有序地参与医保监督。</w:t>
      </w:r>
    </w:p>
    <w:p>
      <w:pPr>
        <w:pStyle w:val="11"/>
        <w:widowControl/>
        <w:pBdr>
          <w:top w:val="none" w:color="auto" w:sz="0" w:space="0"/>
          <w:left w:val="none" w:color="auto" w:sz="0" w:space="0"/>
          <w:bottom w:val="none" w:color="auto" w:sz="0" w:space="0"/>
          <w:right w:val="none" w:color="auto" w:sz="0" w:space="0"/>
        </w:pBdr>
        <w:wordWrap/>
        <w:adjustRightInd/>
        <w:snapToGrid/>
        <w:spacing w:before="0" w:beforeLines="0" w:beforeAutospacing="0" w:after="0" w:afterLines="0" w:afterAutospacing="0" w:line="600" w:lineRule="exact"/>
        <w:ind w:left="0" w:right="0" w:firstLine="640" w:firstLineChars="200"/>
        <w:jc w:val="both"/>
        <w:textAlignment w:val="auto"/>
        <w:rPr>
          <w:rFonts w:hint="default" w:ascii="仿宋_GB2312" w:hAnsi="仿宋_GB2312" w:eastAsia="仿宋_GB2312" w:cs="仿宋_GB2312"/>
          <w:b w:val="0"/>
          <w:bCs w:val="0"/>
          <w:color w:val="auto"/>
          <w:kern w:val="0"/>
          <w:sz w:val="32"/>
          <w:szCs w:val="24"/>
          <w:highlight w:val="none"/>
          <w:lang w:val="en-US" w:eastAsia="zh-CN" w:bidi="ar-SA"/>
        </w:rPr>
      </w:pPr>
    </w:p>
    <w:p>
      <w:pPr>
        <w:pStyle w:val="4"/>
        <w:wordWrap/>
        <w:adjustRightInd/>
        <w:snapToGrid/>
        <w:spacing w:before="0" w:beforeLines="0" w:after="0" w:afterLines="0" w:line="600" w:lineRule="exact"/>
        <w:jc w:val="center"/>
        <w:textAlignment w:val="auto"/>
        <w:outlineLvl w:val="1"/>
        <w:rPr>
          <w:rFonts w:hint="default" w:ascii="Times New Roman" w:hAnsi="Times New Roman" w:eastAsia="黑体" w:cs="Times New Roman"/>
          <w:b w:val="0"/>
          <w:bCs/>
          <w:color w:val="auto"/>
          <w:sz w:val="32"/>
          <w:szCs w:val="32"/>
          <w:highlight w:val="none"/>
          <w:u w:val="none"/>
        </w:rPr>
      </w:pPr>
      <w:r>
        <w:rPr>
          <w:rFonts w:hint="default" w:ascii="Times New Roman" w:hAnsi="Times New Roman" w:eastAsia="黑体" w:cs="Times New Roman"/>
          <w:b w:val="0"/>
          <w:bCs/>
          <w:color w:val="auto"/>
          <w:sz w:val="32"/>
          <w:szCs w:val="32"/>
          <w:highlight w:val="none"/>
          <w:u w:val="none"/>
        </w:rPr>
        <w:t xml:space="preserve">第三节 </w:t>
      </w:r>
      <w:r>
        <w:rPr>
          <w:rFonts w:hint="default" w:ascii="Times New Roman" w:hAnsi="Times New Roman" w:eastAsia="黑体" w:cs="Times New Roman"/>
          <w:b w:val="0"/>
          <w:bCs/>
          <w:color w:val="auto"/>
          <w:sz w:val="32"/>
          <w:szCs w:val="32"/>
          <w:highlight w:val="none"/>
          <w:u w:val="none"/>
          <w:lang w:eastAsia="zh-CN"/>
        </w:rPr>
        <w:t>投入</w:t>
      </w:r>
      <w:r>
        <w:rPr>
          <w:rFonts w:hint="default" w:ascii="Times New Roman" w:hAnsi="Times New Roman" w:eastAsia="黑体" w:cs="Times New Roman"/>
          <w:b w:val="0"/>
          <w:bCs/>
          <w:color w:val="auto"/>
          <w:sz w:val="32"/>
          <w:szCs w:val="32"/>
          <w:highlight w:val="none"/>
          <w:u w:val="none"/>
        </w:rPr>
        <w:t>保障</w:t>
      </w:r>
    </w:p>
    <w:p>
      <w:pPr>
        <w:pStyle w:val="11"/>
        <w:widowControl/>
        <w:pBdr>
          <w:top w:val="none" w:color="auto" w:sz="0" w:space="0"/>
          <w:left w:val="none" w:color="auto" w:sz="0" w:space="0"/>
          <w:bottom w:val="none" w:color="auto" w:sz="0" w:space="0"/>
          <w:right w:val="none" w:color="auto" w:sz="0" w:space="0"/>
        </w:pBdr>
        <w:wordWrap/>
        <w:adjustRightInd/>
        <w:snapToGrid/>
        <w:spacing w:before="0" w:beforeLines="0" w:beforeAutospacing="0" w:after="0" w:afterLines="0" w:afterAutospacing="0" w:line="600" w:lineRule="exact"/>
        <w:ind w:left="0" w:right="0" w:firstLine="640" w:firstLineChars="200"/>
        <w:jc w:val="both"/>
        <w:textAlignment w:val="auto"/>
        <w:rPr>
          <w:rFonts w:hint="default" w:ascii="仿宋_GB2312" w:hAnsi="仿宋_GB2312" w:eastAsia="仿宋_GB2312" w:cs="仿宋_GB2312"/>
          <w:b w:val="0"/>
          <w:bCs w:val="0"/>
          <w:color w:val="auto"/>
          <w:kern w:val="0"/>
          <w:sz w:val="32"/>
          <w:szCs w:val="24"/>
          <w:highlight w:val="none"/>
          <w:lang w:val="en-US" w:eastAsia="zh-CN" w:bidi="ar-SA"/>
        </w:rPr>
      </w:pPr>
      <w:r>
        <w:rPr>
          <w:rFonts w:hint="eastAsia" w:ascii="楷体" w:hAnsi="楷体" w:eastAsia="楷体" w:cs="楷体"/>
          <w:b w:val="0"/>
          <w:bCs w:val="0"/>
          <w:color w:val="auto"/>
          <w:kern w:val="0"/>
          <w:sz w:val="32"/>
          <w:szCs w:val="24"/>
          <w:highlight w:val="none"/>
          <w:lang w:val="en-US" w:eastAsia="zh-CN" w:bidi="ar-SA"/>
        </w:rPr>
        <w:t>做好医疗保障事业发展资金保障。</w:t>
      </w:r>
      <w:r>
        <w:rPr>
          <w:rFonts w:hint="default" w:ascii="仿宋_GB2312" w:hAnsi="仿宋_GB2312" w:eastAsia="仿宋_GB2312" w:cs="仿宋_GB2312"/>
          <w:b/>
          <w:bCs/>
          <w:color w:val="auto"/>
          <w:kern w:val="0"/>
          <w:sz w:val="32"/>
          <w:szCs w:val="24"/>
          <w:highlight w:val="none"/>
          <w:lang w:val="en-US" w:eastAsia="zh-CN" w:bidi="ar-SA"/>
        </w:rPr>
        <w:t>一是</w:t>
      </w:r>
      <w:r>
        <w:rPr>
          <w:rFonts w:hint="default" w:ascii="仿宋_GB2312" w:hAnsi="仿宋_GB2312" w:eastAsia="仿宋_GB2312" w:cs="仿宋_GB2312"/>
          <w:b w:val="0"/>
          <w:bCs w:val="0"/>
          <w:color w:val="auto"/>
          <w:kern w:val="0"/>
          <w:sz w:val="32"/>
          <w:szCs w:val="24"/>
          <w:highlight w:val="none"/>
          <w:lang w:val="en-US" w:eastAsia="zh-CN" w:bidi="ar-SA"/>
        </w:rPr>
        <w:t>健全工作经费保障机制。做好经费预算安排，加强医疗保障预算绩效管理，保障医疗保障各项改革任务有效落实。</w:t>
      </w:r>
      <w:r>
        <w:rPr>
          <w:rFonts w:hint="default" w:ascii="仿宋_GB2312" w:hAnsi="仿宋_GB2312" w:eastAsia="仿宋_GB2312" w:cs="仿宋_GB2312"/>
          <w:b/>
          <w:bCs/>
          <w:color w:val="auto"/>
          <w:kern w:val="0"/>
          <w:sz w:val="32"/>
          <w:szCs w:val="24"/>
          <w:highlight w:val="none"/>
          <w:lang w:val="en-US" w:eastAsia="zh-CN" w:bidi="ar-SA"/>
        </w:rPr>
        <w:t>二是</w:t>
      </w:r>
      <w:r>
        <w:rPr>
          <w:rFonts w:hint="default" w:ascii="仿宋_GB2312" w:hAnsi="仿宋_GB2312" w:eastAsia="仿宋_GB2312" w:cs="仿宋_GB2312"/>
          <w:b w:val="0"/>
          <w:bCs w:val="0"/>
          <w:color w:val="auto"/>
          <w:kern w:val="0"/>
          <w:sz w:val="32"/>
          <w:szCs w:val="24"/>
          <w:highlight w:val="none"/>
          <w:lang w:val="en-US" w:eastAsia="zh-CN" w:bidi="ar-SA"/>
        </w:rPr>
        <w:t>加大财政对医疗保障事业发展资金投入力度，保障重点项目顺利实施。健全医疗保障资金分配、使用和管理机制，提高资金使用绩效。</w:t>
      </w:r>
    </w:p>
    <w:p>
      <w:pPr>
        <w:pStyle w:val="11"/>
        <w:widowControl/>
        <w:pBdr>
          <w:top w:val="none" w:color="auto" w:sz="0" w:space="0"/>
          <w:left w:val="none" w:color="auto" w:sz="0" w:space="0"/>
          <w:bottom w:val="none" w:color="auto" w:sz="0" w:space="0"/>
          <w:right w:val="none" w:color="auto" w:sz="0" w:space="0"/>
        </w:pBdr>
        <w:wordWrap/>
        <w:adjustRightInd/>
        <w:snapToGrid/>
        <w:spacing w:before="0" w:beforeLines="0" w:beforeAutospacing="0" w:after="0" w:afterLines="0" w:afterAutospacing="0" w:line="600" w:lineRule="exact"/>
        <w:ind w:left="0" w:right="0" w:firstLine="640" w:firstLineChars="200"/>
        <w:jc w:val="both"/>
        <w:textAlignment w:val="auto"/>
        <w:rPr>
          <w:rFonts w:hint="default" w:ascii="仿宋_GB2312" w:hAnsi="仿宋_GB2312" w:eastAsia="仿宋_GB2312" w:cs="仿宋_GB2312"/>
          <w:b w:val="0"/>
          <w:bCs w:val="0"/>
          <w:color w:val="auto"/>
          <w:kern w:val="0"/>
          <w:sz w:val="32"/>
          <w:szCs w:val="24"/>
          <w:highlight w:val="none"/>
          <w:lang w:val="en-US" w:eastAsia="zh-CN" w:bidi="ar-SA"/>
        </w:rPr>
      </w:pPr>
    </w:p>
    <w:p>
      <w:pPr>
        <w:pStyle w:val="4"/>
        <w:wordWrap/>
        <w:adjustRightInd/>
        <w:snapToGrid/>
        <w:spacing w:before="0" w:beforeLines="0" w:after="0" w:afterLines="0" w:line="600" w:lineRule="exact"/>
        <w:jc w:val="center"/>
        <w:textAlignment w:val="auto"/>
        <w:outlineLvl w:val="1"/>
        <w:rPr>
          <w:rFonts w:hint="default" w:ascii="Times New Roman" w:hAnsi="Times New Roman" w:eastAsia="黑体" w:cs="Times New Roman"/>
          <w:b w:val="0"/>
          <w:bCs/>
          <w:color w:val="auto"/>
          <w:sz w:val="32"/>
          <w:szCs w:val="32"/>
          <w:highlight w:val="none"/>
          <w:u w:val="none"/>
          <w:lang w:eastAsia="zh-CN"/>
        </w:rPr>
      </w:pPr>
      <w:r>
        <w:rPr>
          <w:rFonts w:hint="default" w:ascii="Times New Roman" w:hAnsi="Times New Roman" w:eastAsia="黑体" w:cs="Times New Roman"/>
          <w:b w:val="0"/>
          <w:bCs/>
          <w:color w:val="auto"/>
          <w:sz w:val="32"/>
          <w:szCs w:val="32"/>
          <w:highlight w:val="none"/>
          <w:u w:val="none"/>
          <w:lang w:eastAsia="zh-CN"/>
        </w:rPr>
        <w:t>第四节 能力保障</w:t>
      </w:r>
    </w:p>
    <w:p>
      <w:pPr>
        <w:pStyle w:val="11"/>
        <w:widowControl/>
        <w:pBdr>
          <w:top w:val="none" w:color="auto" w:sz="0" w:space="0"/>
          <w:left w:val="none" w:color="auto" w:sz="0" w:space="0"/>
          <w:bottom w:val="none" w:color="auto" w:sz="0" w:space="0"/>
          <w:right w:val="none" w:color="auto" w:sz="0" w:space="0"/>
        </w:pBdr>
        <w:wordWrap/>
        <w:adjustRightInd/>
        <w:snapToGrid/>
        <w:spacing w:before="0" w:beforeLines="0" w:beforeAutospacing="0" w:after="0" w:afterLines="0" w:afterAutospacing="0" w:line="600" w:lineRule="exact"/>
        <w:ind w:left="0" w:right="0" w:firstLine="640" w:firstLineChars="200"/>
        <w:jc w:val="both"/>
        <w:textAlignment w:val="auto"/>
        <w:rPr>
          <w:rFonts w:hint="default" w:ascii="仿宋_GB2312" w:hAnsi="仿宋_GB2312" w:eastAsia="仿宋_GB2312" w:cs="仿宋_GB2312"/>
          <w:b w:val="0"/>
          <w:bCs w:val="0"/>
          <w:color w:val="auto"/>
          <w:kern w:val="0"/>
          <w:sz w:val="32"/>
          <w:szCs w:val="24"/>
          <w:highlight w:val="none"/>
          <w:lang w:val="en-US" w:eastAsia="zh-CN" w:bidi="ar-SA"/>
        </w:rPr>
      </w:pPr>
      <w:r>
        <w:rPr>
          <w:rFonts w:hint="eastAsia" w:ascii="楷体" w:hAnsi="楷体" w:eastAsia="楷体" w:cs="楷体"/>
          <w:b w:val="0"/>
          <w:bCs w:val="0"/>
          <w:color w:val="auto"/>
          <w:kern w:val="0"/>
          <w:sz w:val="32"/>
          <w:szCs w:val="24"/>
          <w:highlight w:val="none"/>
          <w:lang w:val="en-US" w:eastAsia="zh-CN" w:bidi="ar-SA"/>
        </w:rPr>
        <w:t>加强医疗保障队伍建设及人才培养。</w:t>
      </w:r>
      <w:r>
        <w:rPr>
          <w:rFonts w:hint="default" w:ascii="仿宋_GB2312" w:hAnsi="仿宋_GB2312" w:eastAsia="仿宋_GB2312" w:cs="仿宋_GB2312"/>
          <w:b w:val="0"/>
          <w:bCs w:val="0"/>
          <w:color w:val="auto"/>
          <w:kern w:val="0"/>
          <w:sz w:val="32"/>
          <w:szCs w:val="24"/>
          <w:highlight w:val="none"/>
          <w:lang w:val="en-US" w:eastAsia="zh-CN" w:bidi="ar-SA"/>
        </w:rPr>
        <w:t>切实加强党的领导和党的建设，用习近平新时代中国特色社会主义思想武装头脑、指导实践、推动工作，</w:t>
      </w:r>
      <w:r>
        <w:rPr>
          <w:rFonts w:hint="eastAsia" w:ascii="仿宋_GB2312" w:hAnsi="仿宋_GB2312" w:eastAsia="仿宋_GB2312" w:cs="仿宋_GB2312"/>
          <w:b w:val="0"/>
          <w:bCs w:val="0"/>
          <w:color w:val="auto"/>
          <w:kern w:val="0"/>
          <w:sz w:val="32"/>
          <w:szCs w:val="24"/>
          <w:highlight w:val="none"/>
          <w:lang w:val="en-US" w:eastAsia="zh-CN" w:bidi="ar-SA"/>
        </w:rPr>
        <w:t>忠诚践行“两个确立”，进一步增强</w:t>
      </w:r>
      <w:r>
        <w:rPr>
          <w:rFonts w:hint="default" w:ascii="仿宋_GB2312" w:hAnsi="仿宋_GB2312" w:eastAsia="仿宋_GB2312" w:cs="仿宋_GB2312"/>
          <w:b w:val="0"/>
          <w:bCs w:val="0"/>
          <w:color w:val="auto"/>
          <w:kern w:val="0"/>
          <w:sz w:val="32"/>
          <w:szCs w:val="24"/>
          <w:highlight w:val="none"/>
          <w:lang w:val="en-US" w:eastAsia="zh-CN" w:bidi="ar-SA"/>
        </w:rPr>
        <w:t>“四个意识”，坚定“四个自信”，</w:t>
      </w:r>
      <w:r>
        <w:rPr>
          <w:rFonts w:hint="eastAsia" w:ascii="仿宋_GB2312" w:hAnsi="仿宋_GB2312" w:eastAsia="仿宋_GB2312" w:cs="仿宋_GB2312"/>
          <w:b w:val="0"/>
          <w:bCs w:val="0"/>
          <w:color w:val="auto"/>
          <w:kern w:val="0"/>
          <w:sz w:val="32"/>
          <w:szCs w:val="24"/>
          <w:highlight w:val="none"/>
          <w:lang w:val="en-US" w:eastAsia="zh-CN" w:bidi="ar-SA"/>
        </w:rPr>
        <w:t>坚决</w:t>
      </w:r>
      <w:r>
        <w:rPr>
          <w:rFonts w:hint="default" w:ascii="仿宋_GB2312" w:hAnsi="仿宋_GB2312" w:eastAsia="仿宋_GB2312" w:cs="仿宋_GB2312"/>
          <w:b w:val="0"/>
          <w:bCs w:val="0"/>
          <w:color w:val="auto"/>
          <w:kern w:val="0"/>
          <w:sz w:val="32"/>
          <w:szCs w:val="24"/>
          <w:highlight w:val="none"/>
          <w:lang w:val="en-US" w:eastAsia="zh-CN" w:bidi="ar-SA"/>
        </w:rPr>
        <w:t>做到“两个维护”。</w:t>
      </w:r>
      <w:r>
        <w:rPr>
          <w:rFonts w:hint="eastAsia" w:ascii="仿宋_GB2312" w:hAnsi="仿宋_GB2312" w:eastAsia="仿宋_GB2312" w:cs="仿宋_GB2312"/>
          <w:b w:val="0"/>
          <w:bCs w:val="0"/>
          <w:color w:val="auto"/>
          <w:kern w:val="0"/>
          <w:sz w:val="32"/>
          <w:szCs w:val="24"/>
          <w:highlight w:val="none"/>
          <w:lang w:val="en-US" w:eastAsia="zh-CN" w:bidi="ar-SA"/>
        </w:rPr>
        <w:t>努力</w:t>
      </w:r>
      <w:r>
        <w:rPr>
          <w:rFonts w:hint="default" w:ascii="仿宋_GB2312" w:hAnsi="仿宋_GB2312" w:eastAsia="仿宋_GB2312" w:cs="仿宋_GB2312"/>
          <w:b w:val="0"/>
          <w:bCs w:val="0"/>
          <w:color w:val="auto"/>
          <w:kern w:val="0"/>
          <w:sz w:val="32"/>
          <w:szCs w:val="24"/>
          <w:highlight w:val="none"/>
          <w:lang w:val="en-US" w:eastAsia="zh-CN" w:bidi="ar-SA"/>
        </w:rPr>
        <w:t>打造与新时代医保公共服务要求相适应的专业队伍，并借助社会力量优化医保经办，提升医保经办能力。加强医保基金监管队伍建设，充实监管力量，配备监管硬件，提升监管业务能力，打造一支规范化、专业化的基金监管队伍。实施全员学习培训制度，大力提高医疗保障工作人员的专业素养和综合素质，努力培养以医疗专业背景为主，经济学、计算机、管理学等领域的既懂政策经办、又懂信息化的复合型技术人才。</w:t>
      </w:r>
    </w:p>
    <w:p>
      <w:pPr>
        <w:pStyle w:val="11"/>
        <w:widowControl/>
        <w:pBdr>
          <w:top w:val="none" w:color="auto" w:sz="0" w:space="0"/>
          <w:left w:val="none" w:color="auto" w:sz="0" w:space="0"/>
          <w:bottom w:val="none" w:color="auto" w:sz="0" w:space="0"/>
          <w:right w:val="none" w:color="auto" w:sz="0" w:space="0"/>
        </w:pBdr>
        <w:wordWrap/>
        <w:adjustRightInd/>
        <w:snapToGrid/>
        <w:spacing w:before="0" w:beforeLines="0" w:beforeAutospacing="0" w:after="0" w:afterLines="0" w:afterAutospacing="0" w:line="600" w:lineRule="exact"/>
        <w:ind w:left="0" w:right="0" w:firstLine="640" w:firstLineChars="200"/>
        <w:jc w:val="both"/>
        <w:textAlignment w:val="auto"/>
        <w:rPr>
          <w:rFonts w:hint="default" w:ascii="仿宋_GB2312" w:hAnsi="仿宋_GB2312" w:eastAsia="仿宋_GB2312" w:cs="仿宋_GB2312"/>
          <w:b w:val="0"/>
          <w:bCs w:val="0"/>
          <w:color w:val="auto"/>
          <w:kern w:val="0"/>
          <w:sz w:val="32"/>
          <w:szCs w:val="24"/>
          <w:highlight w:val="none"/>
          <w:lang w:val="en-US" w:eastAsia="zh-CN" w:bidi="ar-SA"/>
        </w:rPr>
      </w:pPr>
      <w:r>
        <w:rPr>
          <w:rFonts w:hint="eastAsia" w:ascii="楷体" w:hAnsi="楷体" w:eastAsia="楷体" w:cs="楷体"/>
          <w:b w:val="0"/>
          <w:bCs w:val="0"/>
          <w:color w:val="auto"/>
          <w:kern w:val="0"/>
          <w:sz w:val="32"/>
          <w:szCs w:val="24"/>
          <w:highlight w:val="none"/>
          <w:lang w:val="en-US" w:eastAsia="zh-CN" w:bidi="ar-SA"/>
        </w:rPr>
        <w:t>加强医疗保障信息化建设。</w:t>
      </w:r>
      <w:r>
        <w:rPr>
          <w:rFonts w:hint="eastAsia" w:ascii="仿宋_GB2312" w:hAnsi="仿宋_GB2312" w:eastAsia="仿宋_GB2312" w:cs="仿宋_GB2312"/>
          <w:b w:val="0"/>
          <w:bCs w:val="0"/>
          <w:color w:val="auto"/>
          <w:kern w:val="0"/>
          <w:sz w:val="32"/>
          <w:szCs w:val="24"/>
          <w:highlight w:val="none"/>
          <w:lang w:val="en-US" w:eastAsia="zh-CN" w:bidi="ar-SA"/>
        </w:rPr>
        <w:t>全面贯彻国家医保局制定的全国统一的15项医保业务信息编码，推进落实医保标准化和信息智能化建设工程。</w:t>
      </w:r>
      <w:r>
        <w:rPr>
          <w:rFonts w:hint="default" w:ascii="仿宋_GB2312" w:hAnsi="仿宋_GB2312" w:eastAsia="仿宋_GB2312" w:cs="仿宋_GB2312"/>
          <w:b w:val="0"/>
          <w:bCs w:val="0"/>
          <w:color w:val="auto"/>
          <w:kern w:val="0"/>
          <w:sz w:val="32"/>
          <w:szCs w:val="24"/>
          <w:highlight w:val="none"/>
          <w:lang w:val="en-US" w:eastAsia="zh-CN" w:bidi="ar-SA"/>
        </w:rPr>
        <w:t>努力拓展及完善“统一、高效、兼容、便捷、安全”的医疗保障信息平台，结合互联网、大数据、云计算等应用推进“智慧医保”建设，实现医保信息全方位互通互享，全面提高医疗保障智能化与精细化管理水平，有效提高医疗保障服务质量，促进医疗保障治理现代化建设。</w:t>
      </w:r>
    </w:p>
    <w:p>
      <w:pPr>
        <w:pStyle w:val="4"/>
        <w:wordWrap/>
        <w:adjustRightInd/>
        <w:snapToGrid/>
        <w:spacing w:before="0" w:beforeLines="0" w:after="0" w:afterLines="0" w:line="600" w:lineRule="exact"/>
        <w:jc w:val="center"/>
        <w:textAlignment w:val="auto"/>
        <w:outlineLvl w:val="1"/>
        <w:rPr>
          <w:rFonts w:hint="default" w:ascii="Times New Roman" w:hAnsi="Times New Roman" w:eastAsia="黑体" w:cs="Times New Roman"/>
          <w:b w:val="0"/>
          <w:bCs/>
          <w:color w:val="auto"/>
          <w:sz w:val="32"/>
          <w:szCs w:val="32"/>
          <w:highlight w:val="none"/>
          <w:u w:val="none"/>
          <w:lang w:eastAsia="zh-CN"/>
        </w:rPr>
      </w:pPr>
      <w:r>
        <w:rPr>
          <w:rFonts w:hint="default" w:ascii="Times New Roman" w:hAnsi="Times New Roman" w:eastAsia="黑体" w:cs="Times New Roman"/>
          <w:b w:val="0"/>
          <w:bCs/>
          <w:color w:val="auto"/>
          <w:sz w:val="32"/>
          <w:szCs w:val="32"/>
          <w:highlight w:val="none"/>
          <w:u w:val="none"/>
          <w:lang w:eastAsia="zh-CN"/>
        </w:rPr>
        <w:t>第五节 实施保障</w:t>
      </w:r>
    </w:p>
    <w:p>
      <w:pPr>
        <w:pStyle w:val="11"/>
        <w:widowControl/>
        <w:pBdr>
          <w:top w:val="none" w:color="auto" w:sz="0" w:space="0"/>
          <w:left w:val="none" w:color="auto" w:sz="0" w:space="0"/>
          <w:bottom w:val="none" w:color="auto" w:sz="0" w:space="0"/>
          <w:right w:val="none" w:color="auto" w:sz="0" w:space="0"/>
        </w:pBdr>
        <w:wordWrap/>
        <w:adjustRightInd/>
        <w:snapToGrid/>
        <w:spacing w:before="0" w:beforeLines="0" w:beforeAutospacing="0" w:after="0" w:afterLines="0" w:afterAutospacing="0" w:line="600" w:lineRule="exact"/>
        <w:ind w:left="0" w:right="0" w:firstLine="640" w:firstLineChars="200"/>
        <w:jc w:val="both"/>
        <w:textAlignment w:val="auto"/>
        <w:rPr>
          <w:rFonts w:hint="default" w:ascii="仿宋_GB2312" w:hAnsi="仿宋_GB2312" w:eastAsia="仿宋_GB2312" w:cs="仿宋_GB2312"/>
          <w:b w:val="0"/>
          <w:bCs w:val="0"/>
          <w:color w:val="auto"/>
          <w:kern w:val="0"/>
          <w:sz w:val="32"/>
          <w:szCs w:val="24"/>
          <w:highlight w:val="none"/>
          <w:lang w:val="en-US" w:eastAsia="zh-CN" w:bidi="ar-SA"/>
        </w:rPr>
      </w:pPr>
      <w:r>
        <w:rPr>
          <w:rFonts w:hint="eastAsia" w:ascii="楷体" w:hAnsi="楷体" w:eastAsia="楷体" w:cs="楷体"/>
          <w:b w:val="0"/>
          <w:bCs w:val="0"/>
          <w:color w:val="auto"/>
          <w:kern w:val="0"/>
          <w:sz w:val="32"/>
          <w:szCs w:val="24"/>
          <w:highlight w:val="none"/>
          <w:lang w:val="en-US" w:eastAsia="zh-CN" w:bidi="ar-SA"/>
        </w:rPr>
        <w:t>加强规划监测评估。</w:t>
      </w:r>
      <w:r>
        <w:rPr>
          <w:rFonts w:hint="default" w:ascii="仿宋_GB2312" w:hAnsi="仿宋_GB2312" w:eastAsia="仿宋_GB2312" w:cs="仿宋_GB2312"/>
          <w:b w:val="0"/>
          <w:bCs w:val="0"/>
          <w:color w:val="auto"/>
          <w:kern w:val="0"/>
          <w:sz w:val="32"/>
          <w:szCs w:val="24"/>
          <w:highlight w:val="none"/>
          <w:lang w:val="en-US" w:eastAsia="zh-CN" w:bidi="ar-SA"/>
        </w:rPr>
        <w:t>把规划目标任务的核心内容和关键指标贯彻落实到部门年度工作计划、目标及预算绩效考核中，推动规划有效落实。积极开展规划实施年度跟踪监测、中期评估和总结评估，对实施情况进行督查考核，推进各项规划目标任务顺利实现。</w:t>
      </w:r>
    </w:p>
    <w:p>
      <w:pPr>
        <w:spacing w:line="600" w:lineRule="exac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360"/>
      <w:jc w:val="center"/>
    </w:pPr>
  </w:p>
  <w:p>
    <w:pPr>
      <w:pStyle w:val="6"/>
      <w:tabs>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360"/>
      <w:jc w:val="center"/>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67385" cy="317500"/>
              <wp:effectExtent l="0" t="0" r="0" b="0"/>
              <wp:wrapNone/>
              <wp:docPr id="2" name="矩形 2"/>
              <wp:cNvGraphicFramePr/>
              <a:graphic xmlns:a="http://schemas.openxmlformats.org/drawingml/2006/main">
                <a:graphicData uri="http://schemas.microsoft.com/office/word/2010/wordprocessingShape">
                  <wps:wsp>
                    <wps:cNvSpPr/>
                    <wps:spPr>
                      <a:xfrm>
                        <a:off x="0" y="0"/>
                        <a:ext cx="667385" cy="317500"/>
                      </a:xfrm>
                      <a:prstGeom prst="rect">
                        <a:avLst/>
                      </a:prstGeom>
                      <a:noFill/>
                      <a:ln>
                        <a:noFill/>
                      </a:ln>
                    </wps:spPr>
                    <wps:txbx>
                      <w:txbxContent>
                        <w:p>
                          <w:pPr>
                            <w:pStyle w:val="6"/>
                            <w:jc w:val="left"/>
                          </w:pPr>
                        </w:p>
                        <w:p/>
                      </w:txbxContent>
                    </wps:txbx>
                    <wps:bodyPr lIns="0" tIns="0" rIns="0" bIns="0" upright="1"/>
                  </wps:wsp>
                </a:graphicData>
              </a:graphic>
            </wp:anchor>
          </w:drawing>
        </mc:Choice>
        <mc:Fallback>
          <w:pict>
            <v:rect id="_x0000_s1026" o:spid="_x0000_s1026" o:spt="1" style="position:absolute;left:0pt;margin-top:0pt;height:25pt;width:52.55pt;mso-position-horizontal:outside;mso-position-horizontal-relative:margin;z-index:251659264;mso-width-relative:page;mso-height-relative:page;" fillcolor="#FFFFFF" filled="f" stroked="f" coordsize="21600,21600" o:gfxdata="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bW5YdUA&#10;AAAEAQAADwAAAAAAAAABACAAAAAiAAAAZHJzL2Rvd25yZXYueG1sUEsBAhQAFAAAAAgAh07iQG7u&#10;HHCwAQAAZAMAAA4AAAAAAAAAAQAgAAAAJAEAAGRycy9lMm9Eb2MueG1sUEsFBgAAAAAGAAYAWQEA&#10;AEYFAAAAAA==&#10;">
              <v:path/>
              <v:fill on="f" color2="#FFFFFF" focussize="0,0"/>
              <v:stroke on="f"/>
              <v:imagedata o:title=""/>
              <o:lock v:ext="edit" grouping="f" rotation="f" text="f" aspectratio="f"/>
              <v:textbox inset="0mm,0mm,0mm,0mm">
                <w:txbxContent>
                  <w:p>
                    <w:pPr>
                      <w:pStyle w:val="6"/>
                      <w:jc w:val="left"/>
                    </w:pPr>
                  </w:p>
                  <w:p/>
                </w:txbxContent>
              </v:textbox>
            </v:rect>
          </w:pict>
        </mc:Fallback>
      </mc:AlternateContent>
    </w:r>
  </w:p>
  <w:p>
    <w:pPr>
      <w:pStyle w:val="6"/>
      <w:tabs>
        <w:tab w:val="clear" w:pos="415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360"/>
      <w:jc w:val="center"/>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67385" cy="317500"/>
              <wp:effectExtent l="0" t="0" r="0" b="0"/>
              <wp:wrapNone/>
              <wp:docPr id="1" name="矩形 1"/>
              <wp:cNvGraphicFramePr/>
              <a:graphic xmlns:a="http://schemas.openxmlformats.org/drawingml/2006/main">
                <a:graphicData uri="http://schemas.microsoft.com/office/word/2010/wordprocessingShape">
                  <wps:wsp>
                    <wps:cNvSpPr/>
                    <wps:spPr>
                      <a:xfrm>
                        <a:off x="0" y="0"/>
                        <a:ext cx="667385" cy="317500"/>
                      </a:xfrm>
                      <a:prstGeom prst="rect">
                        <a:avLst/>
                      </a:prstGeom>
                      <a:noFill/>
                      <a:ln>
                        <a:noFill/>
                      </a:ln>
                    </wps:spPr>
                    <wps:txbx>
                      <w:txbxContent>
                        <w:p>
                          <w:pPr>
                            <w:pStyle w:val="6"/>
                            <w:jc w:val="left"/>
                          </w:pPr>
                        </w:p>
                        <w:p/>
                      </w:txbxContent>
                    </wps:txbx>
                    <wps:bodyPr lIns="0" tIns="0" rIns="0" bIns="0" upright="1"/>
                  </wps:wsp>
                </a:graphicData>
              </a:graphic>
            </wp:anchor>
          </w:drawing>
        </mc:Choice>
        <mc:Fallback>
          <w:pict>
            <v:rect id="_x0000_s1026" o:spid="_x0000_s1026" o:spt="1" style="position:absolute;left:0pt;margin-top:0pt;height:25pt;width:52.55pt;mso-position-horizontal:outside;mso-position-horizontal-relative:margin;z-index:251660288;mso-width-relative:page;mso-height-relative:page;" fillcolor="#FFFFFF" filled="f" stroked="f" coordsize="21600,21600" o:gfxdata="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bW5YdUA&#10;AAAEAQAADwAAAAAAAAABACAAAAAiAAAAZHJzL2Rvd25yZXYueG1sUEsBAhQAFAAAAAgAh07iQPUg&#10;qKqwAQAAZAMAAA4AAAAAAAAAAQAgAAAAJAEAAGRycy9lMm9Eb2MueG1sUEsFBgAAAAAGAAYAWQEA&#10;AEYFAAAAAA==&#10;">
              <v:path/>
              <v:fill on="f" color2="#FFFFFF" focussize="0,0"/>
              <v:stroke on="f"/>
              <v:imagedata o:title=""/>
              <o:lock v:ext="edit" grouping="f" rotation="f" text="f" aspectratio="f"/>
              <v:textbox inset="0mm,0mm,0mm,0mm">
                <w:txbxContent>
                  <w:p>
                    <w:pPr>
                      <w:pStyle w:val="6"/>
                      <w:jc w:val="left"/>
                    </w:pPr>
                  </w:p>
                  <w:p/>
                </w:txbxContent>
              </v:textbox>
            </v:rect>
          </w:pict>
        </mc:Fallback>
      </mc:AlternateContent>
    </w:r>
  </w:p>
  <w:p>
    <w:pPr>
      <w:pStyle w:val="6"/>
      <w:tabs>
        <w:tab w:val="clear" w:pos="4153"/>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9"/>
        <w:snapToGrid w:val="0"/>
        <w:rPr>
          <w:rFonts w:hint="eastAsia" w:ascii="仿宋_GB2312" w:hAnsi="仿宋_GB2312" w:cs="仿宋_GB2312"/>
        </w:rPr>
      </w:pPr>
      <w:r>
        <w:rPr>
          <w:rStyle w:val="16"/>
          <w:rFonts w:hint="eastAsia" w:ascii="仿宋_GB2312" w:hAnsi="仿宋_GB2312" w:cs="仿宋_GB2312"/>
        </w:rPr>
        <w:footnoteRef/>
      </w:r>
      <w:r>
        <w:rPr>
          <w:rFonts w:hint="eastAsia" w:ascii="仿宋_GB2312" w:hAnsi="仿宋_GB2312" w:cs="仿宋_GB2312"/>
        </w:rPr>
        <w:t xml:space="preserve"> </w:t>
      </w:r>
      <w:r>
        <w:rPr>
          <w:rFonts w:hint="eastAsia" w:ascii="仿宋_GB2312" w:hAnsi="仿宋_GB2312" w:cs="仿宋_GB2312"/>
          <w:lang w:eastAsia="zh-CN"/>
        </w:rPr>
        <w:t>“</w:t>
      </w:r>
      <w:r>
        <w:rPr>
          <w:rFonts w:hint="eastAsia" w:ascii="仿宋_GB2312" w:hAnsi="仿宋_GB2312" w:eastAsia="仿宋_GB2312" w:cs="仿宋_GB2312"/>
          <w:b w:val="0"/>
          <w:bCs w:val="0"/>
          <w:color w:val="auto"/>
          <w:sz w:val="18"/>
          <w:szCs w:val="18"/>
          <w:highlight w:val="none"/>
          <w:u w:val="none"/>
          <w:shd w:val="clear" w:color="080000" w:fill="auto"/>
        </w:rPr>
        <w:t>参保率稳定在9</w:t>
      </w:r>
      <w:r>
        <w:rPr>
          <w:rFonts w:hint="eastAsia" w:ascii="仿宋_GB2312" w:hAnsi="仿宋_GB2312" w:eastAsia="仿宋_GB2312" w:cs="仿宋_GB2312"/>
          <w:b w:val="0"/>
          <w:bCs w:val="0"/>
          <w:color w:val="auto"/>
          <w:sz w:val="18"/>
          <w:szCs w:val="18"/>
          <w:highlight w:val="none"/>
          <w:u w:val="none"/>
          <w:shd w:val="clear" w:color="080000" w:fill="auto"/>
          <w:lang w:val="en-US" w:eastAsia="zh-CN"/>
        </w:rPr>
        <w:t>8</w:t>
      </w:r>
      <w:r>
        <w:rPr>
          <w:rFonts w:hint="eastAsia" w:ascii="仿宋_GB2312" w:hAnsi="仿宋_GB2312" w:eastAsia="仿宋_GB2312" w:cs="仿宋_GB2312"/>
          <w:b w:val="0"/>
          <w:bCs w:val="0"/>
          <w:color w:val="auto"/>
          <w:sz w:val="18"/>
          <w:szCs w:val="18"/>
          <w:highlight w:val="none"/>
          <w:u w:val="none"/>
          <w:shd w:val="clear" w:color="080000" w:fill="auto"/>
        </w:rPr>
        <w:t>%</w:t>
      </w:r>
      <w:r>
        <w:rPr>
          <w:rFonts w:hint="eastAsia" w:ascii="仿宋_GB2312" w:hAnsi="仿宋_GB2312" w:cs="仿宋_GB2312"/>
          <w:b w:val="0"/>
          <w:bCs w:val="0"/>
          <w:color w:val="auto"/>
          <w:sz w:val="18"/>
          <w:szCs w:val="18"/>
          <w:highlight w:val="none"/>
          <w:u w:val="none"/>
          <w:shd w:val="clear" w:color="080000" w:fill="auto"/>
          <w:lang w:eastAsia="zh-CN"/>
        </w:rPr>
        <w:t>”是</w:t>
      </w:r>
      <w:r>
        <w:rPr>
          <w:rFonts w:hint="eastAsia" w:ascii="仿宋_GB2312" w:hAnsi="仿宋_GB2312" w:eastAsia="仿宋_GB2312" w:cs="仿宋_GB2312"/>
          <w:color w:val="auto"/>
          <w:sz w:val="18"/>
          <w:szCs w:val="18"/>
          <w:highlight w:val="none"/>
          <w:u w:val="none"/>
          <w:shd w:val="clear" w:color="060000" w:fill="auto"/>
          <w:lang w:val="en-US" w:eastAsia="zh-CN"/>
        </w:rPr>
        <w:t>《茂名市国民经济和社会发展第十四个五年规划和2035年远景目标纲要》（茂府〔2021〕42号）的</w:t>
      </w:r>
      <w:r>
        <w:rPr>
          <w:rFonts w:hint="eastAsia" w:ascii="仿宋_GB2312" w:hAnsi="仿宋_GB2312" w:cs="仿宋_GB2312"/>
          <w:color w:val="auto"/>
          <w:sz w:val="18"/>
          <w:szCs w:val="18"/>
          <w:highlight w:val="none"/>
          <w:u w:val="none"/>
          <w:shd w:val="clear" w:color="060000" w:fill="auto"/>
          <w:lang w:val="en-US" w:eastAsia="zh-CN"/>
        </w:rPr>
        <w:t>指标值</w:t>
      </w:r>
      <w:r>
        <w:rPr>
          <w:rFonts w:hint="eastAsia" w:ascii="仿宋_GB2312" w:hAnsi="仿宋_GB2312" w:eastAsia="仿宋_GB2312" w:cs="仿宋_GB2312"/>
          <w:color w:val="auto"/>
          <w:sz w:val="18"/>
          <w:szCs w:val="18"/>
          <w:highlight w:val="none"/>
          <w:u w:val="none"/>
          <w:shd w:val="clear" w:color="060000" w:fill="auto"/>
          <w:lang w:val="en-US" w:eastAsia="zh-CN"/>
        </w:rPr>
        <w:t>，现在按照《国务院办公厅关于印发“十四五”全民医疗保障规划的通知》（国办发〔2021〕36号）和《关于印发广东省“十四五”时期医疗保障事业高质量发展实施方案的通知》（粤医保发〔2021〕52号）调整为95%以上。</w:t>
      </w:r>
    </w:p>
  </w:footnote>
  <w:footnote w:id="1">
    <w:p>
      <w:pPr>
        <w:pStyle w:val="9"/>
        <w:snapToGrid w:val="0"/>
      </w:pPr>
      <w:r>
        <w:rPr>
          <w:rStyle w:val="16"/>
        </w:rPr>
        <w:footnoteRef/>
      </w:r>
      <w:r>
        <w:t xml:space="preserve"> </w:t>
      </w:r>
      <w:r>
        <w:rPr>
          <w:rFonts w:hint="eastAsia"/>
          <w:lang w:eastAsia="zh-CN"/>
        </w:rPr>
        <w:t>同第</w:t>
      </w:r>
      <w:r>
        <w:rPr>
          <w:rFonts w:hint="eastAsia"/>
          <w:lang w:val="en-US" w:eastAsia="zh-CN"/>
        </w:rPr>
        <w:t>10页注释1。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japaneseCounting"/>
      <w:lvlText w:val="第%1章"/>
      <w:lvlJc w:val="left"/>
      <w:pPr>
        <w:ind w:left="1080" w:hanging="1080"/>
      </w:pPr>
      <w:rPr>
        <w:rFonts w:hint="default" w:hAnsi="黑体"/>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9"/>
    <w:multiLevelType w:val="singleLevel"/>
    <w:tmpl w:val="00000009"/>
    <w:lvl w:ilvl="0" w:tentative="0">
      <w:start w:val="1"/>
      <w:numFmt w:val="chineseCounting"/>
      <w:suff w:val="space"/>
      <w:lvlText w:val="第%1节"/>
      <w:lvlJc w:val="left"/>
    </w:lvl>
  </w:abstractNum>
  <w:abstractNum w:abstractNumId="2">
    <w:nsid w:val="0000000B"/>
    <w:multiLevelType w:val="singleLevel"/>
    <w:tmpl w:val="0000000B"/>
    <w:lvl w:ilvl="0" w:tentative="0">
      <w:start w:val="4"/>
      <w:numFmt w:val="chineseCounting"/>
      <w:suff w:val="space"/>
      <w:lvlText w:val="第%1节"/>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jYWYwZTM2NTVkYWRiYzMyZWEyYjgyN2Y5YmQ4OTIifQ=="/>
  </w:docVars>
  <w:rsids>
    <w:rsidRoot w:val="0CD4012E"/>
    <w:rsid w:val="0CD40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仿宋_GB2312" w:hAnsi="宋体" w:eastAsia="仿宋_GB2312" w:cs="宋体"/>
      <w:kern w:val="2"/>
      <w:sz w:val="32"/>
      <w:szCs w:val="32"/>
      <w:lang w:val="en-US" w:eastAsia="zh-CN" w:bidi="ar-SA"/>
    </w:rPr>
  </w:style>
  <w:style w:type="paragraph" w:styleId="3">
    <w:name w:val="heading 2"/>
    <w:basedOn w:val="1"/>
    <w:next w:val="1"/>
    <w:uiPriority w:val="0"/>
    <w:pPr>
      <w:keepNext/>
      <w:keepLines/>
      <w:spacing w:line="413" w:lineRule="auto"/>
      <w:outlineLvl w:val="1"/>
    </w:pPr>
    <w:rPr>
      <w:rFonts w:ascii="Arial" w:hAnsi="Arial" w:eastAsia="黑体" w:cs="Times New Roman"/>
      <w:b/>
      <w:sz w:val="32"/>
    </w:rPr>
  </w:style>
  <w:style w:type="paragraph" w:styleId="4">
    <w:name w:val="heading 3"/>
    <w:basedOn w:val="1"/>
    <w:next w:val="1"/>
    <w:uiPriority w:val="0"/>
    <w:pPr>
      <w:keepNext/>
      <w:keepLines/>
      <w:spacing w:line="413" w:lineRule="auto"/>
      <w:outlineLvl w:val="2"/>
    </w:pPr>
    <w:rPr>
      <w:rFonts w:ascii="Calibri" w:hAnsi="Calibri" w:eastAsia="仿宋" w:cs="Times New Roman"/>
      <w:b/>
      <w:sz w:val="28"/>
    </w:rPr>
  </w:style>
  <w:style w:type="character" w:default="1" w:styleId="14">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styleId="2">
    <w:name w:val="Body Text"/>
    <w:basedOn w:val="1"/>
    <w:next w:val="1"/>
    <w:uiPriority w:val="0"/>
    <w:pPr>
      <w:spacing w:after="40" w:afterLines="0" w:line="276" w:lineRule="auto"/>
      <w:ind w:firstLine="560" w:firstLineChars="200"/>
    </w:pPr>
    <w:rPr>
      <w:rFonts w:ascii="Calibri" w:hAnsi="Calibri" w:eastAsia="宋体" w:cs="Times New Roman"/>
      <w:sz w:val="28"/>
    </w:rPr>
  </w:style>
  <w:style w:type="paragraph" w:styleId="5">
    <w:name w:val="toc 3"/>
    <w:basedOn w:val="1"/>
    <w:next w:val="1"/>
    <w:uiPriority w:val="0"/>
    <w:pPr>
      <w:widowControl/>
      <w:tabs>
        <w:tab w:val="right" w:leader="dot" w:pos="8948"/>
      </w:tabs>
      <w:spacing w:line="440" w:lineRule="exact"/>
      <w:ind w:left="442"/>
      <w:jc w:val="left"/>
    </w:pPr>
    <w:rPr>
      <w:rFonts w:ascii="Times New Roman" w:hAnsi="Times New Roman" w:eastAsia="宋体" w:cs="Times New Roman"/>
      <w:kern w:val="0"/>
      <w:sz w:val="22"/>
      <w:szCs w:val="22"/>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toc 1"/>
    <w:basedOn w:val="1"/>
    <w:next w:val="1"/>
    <w:uiPriority w:val="0"/>
  </w:style>
  <w:style w:type="paragraph" w:styleId="9">
    <w:name w:val="footnote text"/>
    <w:uiPriority w:val="0"/>
    <w:pPr>
      <w:widowControl w:val="0"/>
      <w:snapToGrid w:val="0"/>
      <w:jc w:val="left"/>
    </w:pPr>
    <w:rPr>
      <w:rFonts w:ascii="Times New Roman" w:hAnsi="Times New Roman" w:eastAsia="仿宋_GB2312" w:cs="Times New Roman"/>
      <w:kern w:val="2"/>
      <w:sz w:val="18"/>
      <w:szCs w:val="18"/>
      <w:lang w:val="en-US" w:eastAsia="zh-CN" w:bidi="ar-SA"/>
    </w:rPr>
  </w:style>
  <w:style w:type="paragraph" w:styleId="10">
    <w:name w:val="toc 2"/>
    <w:basedOn w:val="1"/>
    <w:next w:val="1"/>
    <w:uiPriority w:val="0"/>
    <w:pPr>
      <w:widowControl/>
      <w:tabs>
        <w:tab w:val="right" w:leader="dot" w:pos="8948"/>
      </w:tabs>
      <w:spacing w:line="520" w:lineRule="exact"/>
      <w:ind w:left="420" w:leftChars="200"/>
      <w:jc w:val="left"/>
    </w:pPr>
    <w:rPr>
      <w:rFonts w:ascii="Times New Roman" w:hAnsi="Times New Roman" w:eastAsia="仿宋_GB2312" w:cs="Times New Roman"/>
      <w:b/>
      <w:kern w:val="0"/>
      <w:sz w:val="30"/>
      <w:szCs w:val="30"/>
    </w:rPr>
  </w:style>
  <w:style w:type="paragraph" w:styleId="11">
    <w:name w:val="Normal (Web)"/>
    <w:basedOn w:val="1"/>
    <w:uiPriority w:val="0"/>
    <w:pPr>
      <w:widowControl/>
      <w:spacing w:before="100" w:beforeLines="0" w:beforeAutospacing="1" w:after="100" w:afterLines="0" w:afterAutospacing="1"/>
      <w:jc w:val="left"/>
    </w:pPr>
    <w:rPr>
      <w:rFonts w:ascii="Times New Roman" w:hAnsi="Times New Roman" w:eastAsia="宋体" w:cs="Times New Roman"/>
      <w:kern w:val="0"/>
    </w:rPr>
  </w:style>
  <w:style w:type="paragraph" w:styleId="12">
    <w:name w:val="Title"/>
    <w:basedOn w:val="1"/>
    <w:next w:val="1"/>
    <w:uiPriority w:val="0"/>
    <w:pPr>
      <w:spacing w:before="240" w:beforeLines="0" w:after="60" w:afterLines="0" w:line="276" w:lineRule="auto"/>
      <w:jc w:val="center"/>
      <w:outlineLvl w:val="0"/>
    </w:pPr>
    <w:rPr>
      <w:rFonts w:ascii="Calibri Light" w:hAnsi="Calibri Light" w:eastAsia="宋体" w:cs="宋体"/>
      <w:b/>
      <w:bCs/>
      <w:sz w:val="32"/>
      <w:szCs w:val="32"/>
    </w:rPr>
  </w:style>
  <w:style w:type="character" w:styleId="15">
    <w:name w:val="Strong"/>
    <w:basedOn w:val="14"/>
    <w:uiPriority w:val="0"/>
    <w:rPr>
      <w:rFonts w:ascii="Times New Roman" w:hAnsi="Times New Roman" w:eastAsia="宋体" w:cs="Times New Roman"/>
      <w:b/>
    </w:rPr>
  </w:style>
  <w:style w:type="character" w:styleId="16">
    <w:name w:val="footnote reference"/>
    <w:uiPriority w:val="0"/>
    <w:rPr>
      <w:vertAlign w:val="superscript"/>
    </w:rPr>
  </w:style>
  <w:style w:type="paragraph" w:customStyle="1" w:styleId="17">
    <w:name w:val="文件格式"/>
    <w:basedOn w:val="1"/>
    <w:uiPriority w:val="0"/>
    <w:pPr>
      <w:widowControl/>
      <w:spacing w:line="460" w:lineRule="atLeast"/>
      <w:ind w:left="1" w:firstLine="419"/>
      <w:textAlignment w:val="bottom"/>
    </w:pPr>
    <w:rPr>
      <w:rFonts w:eastAsia="仿宋_GB2312"/>
      <w:kern w:val="0"/>
      <w:sz w:val="32"/>
      <w:szCs w:val="32"/>
    </w:rPr>
  </w:style>
  <w:style w:type="paragraph" w:customStyle="1" w:styleId="18">
    <w:name w:val="TOC2"/>
    <w:basedOn w:val="1"/>
    <w:next w:val="1"/>
    <w:uiPriority w:val="0"/>
    <w:pPr>
      <w:ind w:left="420" w:leftChars="42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2022-07-15T06:45:00Z</dcterms:created>
  <dc:creator>yiner</dc:creator>
  <cp:lastModifiedBy>yiner</cp:lastModifiedBy>
  <dcterms:modified xsi:type="dcterms:W3CDTF">2022-07-15T06:46:11Z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C788EFCB3D1344C8820B2F89918FA2DE</vt:lpwstr>
  </property>
</Properties>
</file>